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caps/>
          <w:color w:val="6B7280"/>
          <w:sz w:val="19"/>
          <w:szCs w:val="19"/>
        </w:rPr>
        <w:t xml:space="preserve">Wirtschaft · Leistungsfach · Kursstufe · Baden-Württemberg</w:t>
      </w:r>
    </w:p>
    <w:p>
      <w:pPr>
        <w:spacing w:after="60"/>
      </w:pPr>
      <w:r>
        <w:rPr>
          <w:b/>
          <w:bCs/>
          <w:color w:val="1F4E79"/>
          <w:sz w:val="28"/>
          <w:szCs w:val="28"/>
        </w:rPr>
        <w:t xml:space="preserve">Grundlagen der Betriebswirtschaftslehre</w:t>
      </w:r>
    </w:p>
    <w:p>
      <w:pPr>
        <w:spacing w:after="120"/>
      </w:pPr>
      <w:r>
        <w:rPr>
          <w:b/>
          <w:bCs/>
          <w:color w:val="1F4E79"/>
          <w:sz w:val="44"/>
          <w:szCs w:val="44"/>
        </w:rPr>
        <w:t xml:space="preserve">Menschen im Unternehmen</w:t>
      </w:r>
    </w:p>
    <w:p>
      <w:pPr>
        <w:spacing w:after="140" w:before="0" w:line="268"/>
      </w:pPr>
      <w:r>
        <w:rPr>
          <w:i/>
          <w:iCs/>
          <w:color w:val="6B7280"/>
          <w:sz w:val="24"/>
          <w:szCs w:val="24"/>
        </w:rPr>
        <w:t xml:space="preserve">Unternehmenskultur, Mitarbeiterzufriedenheit und Entlohnung</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Bildungsplanbezug</w:t>
            </w:r>
          </w:p>
          <w:p>
            <w:pPr>
              <w:spacing w:after="60" w:before="0" w:line="268"/>
            </w:pPr>
            <w:r>
              <w:rPr>
                <w:b/>
                <w:bCs/>
              </w:rPr>
              <w:t xml:space="preserve">Kompetenz (9): </w:t>
            </w:r>
            <w:r>
              <w:t xml:space="preserve">Wechselwirkungen von Unternehmenskultur (z. B. Werte, Normen, Rituale) und Mitarbeiterzufriedenheit darstellen.</w:t>
            </w:r>
          </w:p>
          <w:p>
            <w:pPr>
              <w:spacing w:after="0" w:before="0" w:line="268"/>
            </w:pPr>
            <w:r>
              <w:rPr>
                <w:b/>
                <w:bCs/>
              </w:rPr>
              <w:t xml:space="preserve">Kompetenz (10): </w:t>
            </w:r>
            <w:r>
              <w:t xml:space="preserve">Entlohnungsformen aus Arbeitgeber- und Arbeitnehmersicht bewerten.</w:t>
            </w:r>
          </w:p>
        </w:tc>
      </w:tr>
    </w:tbl>
    <w:p>
      <w:pPr>
        <w:spacing w:after="60"/>
      </w:pPr>
      <w:r>
        <w:t xml:space="preserve"/>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Das kannst du am Ende dieses Kapitels</w:t>
            </w:r>
          </w:p>
          <w:p>
            <w:pPr>
              <w:pStyle w:val="ListParagraph"/>
              <w:numPr>
                <w:ilvl w:val="0"/>
                <w:numId w:val="2"/>
              </w:numPr>
              <w:spacing w:after="70" w:line="264"/>
            </w:pPr>
            <w:r>
              <w:t xml:space="preserve">erklären, woraus eine Unternehmenskultur besteht und wie man sie sichtbar macht (Drei-Ebenen-Modell)</w:t>
            </w:r>
          </w:p>
          <w:p>
            <w:pPr>
              <w:pStyle w:val="ListParagraph"/>
              <w:numPr>
                <w:ilvl w:val="0"/>
                <w:numId w:val="2"/>
              </w:numPr>
              <w:spacing w:after="70" w:line="264"/>
            </w:pPr>
            <w:r>
              <w:t xml:space="preserve">darstellen, wie Kultur und Mitarbeiterzufriedenheit aufeinander einwirken – in beide Richtungen</w:t>
            </w:r>
          </w:p>
          <w:p>
            <w:pPr>
              <w:pStyle w:val="ListParagraph"/>
              <w:numPr>
                <w:ilvl w:val="0"/>
                <w:numId w:val="2"/>
              </w:numPr>
              <w:spacing w:after="70" w:line="264"/>
            </w:pPr>
            <w:r>
              <w:t xml:space="preserve">zentrale Theorien der Zufriedenheit und Motivation auf Fallbeispiele anwenden (Maslow, Herzberg)</w:t>
            </w:r>
          </w:p>
          <w:p>
            <w:pPr>
              <w:pStyle w:val="ListParagraph"/>
              <w:numPr>
                <w:ilvl w:val="0"/>
                <w:numId w:val="2"/>
              </w:numPr>
              <w:spacing w:after="70" w:line="264"/>
            </w:pPr>
            <w:r>
              <w:t xml:space="preserve">die wichtigsten Entlohnungsformen unterscheiden und ihre Anreizwirkung beschreiben</w:t>
            </w:r>
          </w:p>
          <w:p>
            <w:pPr>
              <w:pStyle w:val="ListParagraph"/>
              <w:numPr>
                <w:ilvl w:val="0"/>
                <w:numId w:val="2"/>
              </w:numPr>
              <w:spacing w:after="0" w:line="264"/>
            </w:pPr>
            <w:r>
              <w:t xml:space="preserve">Entlohnungsformen aus Sicht von Arbeitgebern und Arbeitnehmern begründet bewerten</w:t>
            </w:r>
          </w:p>
        </w:tc>
      </w:tr>
    </w:tbl>
    <w:p>
      <w:pPr>
        <w:spacing w:after="60"/>
      </w:pPr>
      <w:r>
        <w:t xml:space="preserve"/>
      </w:r>
    </w:p>
    <w:p>
      <w:pPr>
        <w:spacing w:after="120"/>
      </w:pPr>
      <w:r>
        <w:rPr>
          <w:b/>
          <w:bCs/>
          <w:color w:val="1F4E79"/>
          <w:sz w:val="30"/>
          <w:szCs w:val="30"/>
        </w:rPr>
        <w:t xml:space="preserve">Inhalt</w:t>
      </w:r>
    </w:p>
    <w:sdt>
      <w:sdtPr>
        <w:alias w:val="Inhalt"/>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Teil A · Unternehmenskultur und Mitarbeiterzufriedenheit</w:t>
      </w:r>
    </w:p>
    <w:p>
      <w:pPr>
        <w:spacing w:after="140" w:before="0" w:line="268"/>
      </w:pPr>
      <w:r>
        <w:rPr>
          <w:b/>
          <w:bCs/>
          <w:color w:val="1F4E79"/>
        </w:rPr>
        <w:t xml:space="preserve">Kompetenz (9): </w:t>
      </w:r>
      <w:r>
        <w:rPr>
          <w:i/>
          <w:iCs/>
        </w:rPr>
        <w:t xml:space="preserve">Wechselwirkungen von Unternehmenskultur (z. B. Werte, Normen, Rituale) und Mitarbeiterzufriedenheit darstellen.</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M1</w:t>
            </w:r>
            <w:r>
              <w:rPr>
                <w:b/>
                <w:bCs/>
                <w:color w:val="1F4E79"/>
                <w:sz w:val="18"/>
                <w:szCs w:val="18"/>
              </w:rPr>
              <w:t xml:space="preserve">  ·  Leitfall: Zwei Fahrradwerke, zwei Welten</w:t>
            </w:r>
          </w:p>
          <w:p>
            <w:pPr>
              <w:spacing w:after="140" w:before="0" w:line="268"/>
            </w:pPr>
            <w:r>
              <w:t xml:space="preserve">Du kennst die VeloTec GmbH bereits. Stell dir nun vor, du hättest die Wahl zwischen zwei Arbeitgebern derselben Branche.</w:t>
            </w:r>
          </w:p>
          <w:p>
            <w:pPr>
              <w:spacing w:after="140" w:before="0" w:line="268"/>
            </w:pPr>
            <w:r>
              <w:rPr>
                <w:b/>
                <w:bCs/>
              </w:rPr>
              <w:t xml:space="preserve">VeloTec GmbH, Reutlingen. </w:t>
            </w:r>
            <w:r>
              <w:t xml:space="preserve">Am ersten Arbeitstag bekommt die neue Auszubildende Mira einen Paten zur Seite gestellt. Im Eingangsbereich hängt ein Leitbild, das wirklich gelebt wird: Jeden Freitag trifft sich das Team zur offenen „Werkstattrunde“, in der auch Azubis Verbesserungsideen einbringen dürfen – und manche werden tatsächlich umgesetzt. Fehler gelten als Lernchance, nicht als Schuldfrage.</w:t>
            </w:r>
          </w:p>
          <w:p>
            <w:pPr>
              <w:spacing w:after="140" w:before="0" w:line="268"/>
            </w:pPr>
            <w:r>
              <w:rPr>
                <w:b/>
                <w:bCs/>
              </w:rPr>
              <w:t xml:space="preserve">Velomax AG, Nachbarstadt. </w:t>
            </w:r>
            <w:r>
              <w:t xml:space="preserve">Auch hier hängt ein Hochglanz-Leitbild – doch wer einen Fehler macht, sucht zuerst nach Ausreden. Vorschläge „von unten“ werden selten gehört, Informationen sind Machtmittel. Die Stimmung ist kühl, die Fluktuation hoch.</w:t>
            </w:r>
          </w:p>
          <w:p>
            <w:pPr>
              <w:spacing w:after="0" w:before="0" w:line="268"/>
            </w:pPr>
            <w:r>
              <w:rPr>
                <w:b/>
                <w:bCs/>
              </w:rPr>
              <w:t xml:space="preserve">Die Leitfrage: </w:t>
            </w:r>
            <w:r>
              <w:t xml:space="preserve">Beide Unternehmen bauen gute Räder. Warum arbeitet man im einen gern – und im anderen nicht? Und was hat das mit dem Unternehmenserfolg zu tun?</w:t>
            </w:r>
          </w:p>
        </w:tc>
      </w:tr>
    </w:tbl>
    <w:p>
      <w:pPr>
        <w:spacing w:after="60"/>
      </w:pPr>
      <w:r>
        <w:t xml:space="preserve"/>
      </w:r>
    </w:p>
    <w:p>
      <w:pPr>
        <w:pStyle w:val="Heading2"/>
      </w:pPr>
      <w:r>
        <w:t xml:space="preserve">A.1 Was ist Unternehmenskultur?</w:t>
      </w:r>
    </w:p>
    <w:p>
      <w:pPr>
        <w:spacing w:after="140" w:before="0" w:line="268"/>
      </w:pPr>
      <w:r>
        <w:rPr>
          <w:b/>
          <w:bCs/>
        </w:rPr>
        <w:t xml:space="preserve">Unternehmenskultur</w:t>
      </w:r>
      <w:r>
        <w:t xml:space="preserve"> ist die Gesamtheit der gemeinsamen Werte, Normen und Einstellungen, die das Verhalten der Menschen in einem Unternehmen prägen. Man fasst sie oft in einem einfachen Satz zusammen: </w:t>
      </w:r>
      <w:r>
        <w:rPr>
          <w:i/>
          <w:iCs/>
        </w:rPr>
        <w:t xml:space="preserve">„So machen wir das hier.“</w:t>
      </w:r>
      <w:r>
        <w:t xml:space="preserve"> Kultur steht selten in einer Vorschrift – sie zeigt sich darin, wie tatsächlich gehandelt wird: Wie geht man mit Fehlern um? Wie wird entschieden? Wie redet die Chefin mit der Auszubildenden? Sie wirkt wie ein unsichtbares Betriebssystem im Hintergrund.</w:t>
      </w:r>
    </w:p>
    <w:p>
      <w:pPr>
        <w:pStyle w:val="Heading3"/>
      </w:pPr>
      <w:r>
        <w:t xml:space="preserve">Das Drei-Ebenen-Modell nach Edgar Schein</w:t>
      </w:r>
    </w:p>
    <w:p>
      <w:pPr>
        <w:spacing w:after="140" w:before="0" w:line="268"/>
      </w:pPr>
      <w:r>
        <w:t xml:space="preserve">Der Organisationsforscher Edgar Schein hat Unternehmenskultur in drei Ebenen geordnet – wie ein Eisberg, von dem nur die Spitze sichtbar ist:</w:t>
      </w:r>
    </w:p>
    <w:p>
      <w:pPr>
        <w:spacing w:after="80" w:before="60"/>
      </w:pPr>
      <w:r>
        <w:rPr>
          <w:b/>
          <w:bCs/>
          <w:caps/>
          <w:color w:val="1F4E79"/>
          <w:sz w:val="18"/>
          <w:szCs w:val="18"/>
        </w:rPr>
        <w:t xml:space="preserve">M2</w:t>
      </w:r>
      <w:r>
        <w:rPr>
          <w:b/>
          <w:bCs/>
          <w:color w:val="1F4E79"/>
          <w:sz w:val="18"/>
          <w:szCs w:val="18"/>
        </w:rPr>
        <w:t xml:space="preserve">  ·  Die drei Ebenen der Unternehmenskultur (nach Schein)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600"/>
        <w:gridCol w:w="3500"/>
        <w:gridCol w:w="2926"/>
      </w:tblGrid>
      <w:tr>
        <w:trPr>
          <w:tblHeader/>
        </w:trPr>
        <w:tc>
          <w:tcPr>
            <w:tcW w:type="dxa" w:w="26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Ebene</w:t>
            </w:r>
          </w:p>
        </w:tc>
        <w:tc>
          <w:tcPr>
            <w:tcW w:type="dxa" w:w="35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Was ist das?</w:t>
            </w:r>
          </w:p>
        </w:tc>
        <w:tc>
          <w:tcPr>
            <w:tcW w:type="dxa" w:w="29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Beispiele bei VeloTec</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Artefakte (sichtbar)</w:t>
            </w:r>
          </w:p>
        </w:tc>
        <w:tc>
          <w:tcPr>
            <w:tcW w:type="dxa" w:w="35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alles Wahrnehmbare: Symbole, Sprache, Rituale, Kleidung, Architektur</w:t>
            </w:r>
          </w:p>
        </w:tc>
        <w:tc>
          <w:tcPr>
            <w:tcW w:type="dxa" w:w="2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die Werkstattrunde am Freitag, das Du unter Kolleginnen, der offene Pausenraum</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Werte (teils sichtbar)</w:t>
            </w:r>
          </w:p>
        </w:tc>
        <w:tc>
          <w:tcPr>
            <w:tcW w:type="dxa" w:w="35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bekundete Ziele und Maximen – das, was ein Unternehmen zu sein beansprucht</w:t>
            </w:r>
          </w:p>
        </w:tc>
        <w:tc>
          <w:tcPr>
            <w:tcW w:type="dxa" w:w="2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„Fehler sind Lernchancen“, „Ideen zählen, nicht Hierarchie“</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Grundannahmen (unsichtbar)</w:t>
            </w:r>
          </w:p>
        </w:tc>
        <w:tc>
          <w:tcPr>
            <w:tcW w:type="dxa" w:w="35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selbstverständliche, unausgesprochene Überzeugungen – der Kern der Kultur</w:t>
            </w:r>
          </w:p>
        </w:tc>
        <w:tc>
          <w:tcPr>
            <w:tcW w:type="dxa" w:w="2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„Wir vertrauen einander“; „Verantwortung trauen wir auch Jungen zu“</w:t>
            </w:r>
          </w:p>
        </w:tc>
      </w:tr>
    </w:tbl>
    <w:p>
      <w:pPr>
        <w:spacing w:after="140" w:before="0" w:line="268"/>
      </w:pPr>
      <w:r>
        <w:rPr>
          <w:b/>
          <w:bCs/>
        </w:rPr>
        <w:t xml:space="preserve">Der entscheidende Punkt: </w:t>
      </w:r>
      <w:r>
        <w:t xml:space="preserve">Echte Kultur sitzt auf der untersten Ebene. Ein an die Wand gehängtes Leitbild (Artefakt) ist nur dann glaubwürdig, wenn es zu den gelebten Grundannahmen passt. Die Velomax AG zeigt, was passiert, wenn bekundete Werte und gelebte Wirklichkeit auseinanderfallen – dann wirkt das schönste Leitbild wie Greenwashing nach innen.</w:t>
      </w:r>
    </w:p>
    <w:p>
      <w:pPr>
        <w:spacing w:after="60"/>
      </w:pPr>
      <w:r>
        <w:t xml:space="preserve"/>
      </w:r>
    </w:p>
    <w:p>
      <w:pPr>
        <w:pStyle w:val="Heading3"/>
      </w:pPr>
      <w:r>
        <w:t xml:space="preserve">Werte, Normen und Rituale – die Bausteine</w:t>
      </w:r>
    </w:p>
    <w:p>
      <w:pPr>
        <w:spacing w:after="140" w:before="0" w:line="268"/>
      </w:pPr>
      <w:r>
        <w:t xml:space="preserve">Der Bildungsplan nennt drei Bausteine ausdrücklich. Sie bauen aufeinander auf:</w:t>
      </w:r>
    </w:p>
    <w:p>
      <w:pPr>
        <w:pStyle w:val="ListParagraph"/>
        <w:numPr>
          <w:ilvl w:val="0"/>
          <w:numId w:val="2"/>
        </w:numPr>
        <w:spacing w:after="70" w:line="264"/>
      </w:pPr>
      <w:r>
        <w:rPr>
          <w:b/>
          <w:bCs/>
        </w:rPr>
        <w:t xml:space="preserve">Werte </w:t>
      </w:r>
      <w:r>
        <w:t xml:space="preserve">sind grundlegende Überzeugungen darüber, was wichtig und erstrebenswert ist – etwa Offenheit, Qualität, Verlässlichkeit. Sie beantworten die Frage: Was ist uns wichtig?</w:t>
      </w:r>
    </w:p>
    <w:p>
      <w:pPr>
        <w:pStyle w:val="ListParagraph"/>
        <w:numPr>
          <w:ilvl w:val="0"/>
          <w:numId w:val="2"/>
        </w:numPr>
        <w:spacing w:after="70" w:line="264"/>
      </w:pPr>
      <w:r>
        <w:rPr>
          <w:b/>
          <w:bCs/>
        </w:rPr>
        <w:t xml:space="preserve">Normen </w:t>
      </w:r>
      <w:r>
        <w:t xml:space="preserve">sind die ungeschriebenen Verhaltensregeln, die aus den Werten folgen – z. B. „wir halten Zusagen ein“ oder „wir kritisieren die Sache, nicht die Person“. Sie beantworten: Wie verhalten wir uns?</w:t>
      </w:r>
    </w:p>
    <w:p>
      <w:pPr>
        <w:pStyle w:val="ListParagraph"/>
        <w:numPr>
          <w:ilvl w:val="0"/>
          <w:numId w:val="2"/>
        </w:numPr>
        <w:spacing w:after="70" w:line="264"/>
      </w:pPr>
      <w:r>
        <w:rPr>
          <w:b/>
          <w:bCs/>
        </w:rPr>
        <w:t xml:space="preserve">Rituale </w:t>
      </w:r>
      <w:r>
        <w:t xml:space="preserve">sind wiederkehrende, symbolische Handlungen, die Werte erlebbar machen – die Freitagsrunde, die Begrüßung neuer Azubis, die gemeinsame Feier nach einem großen Auftrag. Sie machen Kultur spürbar und geben Halt.</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Merke</w:t>
            </w:r>
          </w:p>
          <w:p>
            <w:pPr>
              <w:spacing w:after="0" w:before="0" w:line="268"/>
            </w:pPr>
            <w:r>
              <w:t xml:space="preserve">Werte sagen, </w:t>
            </w:r>
            <w:r>
              <w:rPr>
                <w:i/>
                <w:iCs/>
              </w:rPr>
              <w:t xml:space="preserve">was</w:t>
            </w:r>
            <w:r>
              <w:t xml:space="preserve"> zählt. Normen sagen, </w:t>
            </w:r>
            <w:r>
              <w:rPr>
                <w:i/>
                <w:iCs/>
              </w:rPr>
              <w:t xml:space="preserve">wie</w:t>
            </w:r>
            <w:r>
              <w:t xml:space="preserve"> man sich verhält. Rituale machen beides </w:t>
            </w:r>
            <w:r>
              <w:rPr>
                <w:i/>
                <w:iCs/>
              </w:rPr>
              <w:t xml:space="preserve">erlebbar</w:t>
            </w:r>
            <w:r>
              <w:t xml:space="preserve">. Erst zusammen ergeben sie eine spürbare Kultur.</w:t>
            </w:r>
          </w:p>
        </w:tc>
      </w:tr>
    </w:tbl>
    <w:p>
      <w:pPr>
        <w:spacing w:after="60"/>
      </w:pPr>
      <w:r>
        <w:t xml:space="preserve"/>
      </w:r>
    </w:p>
    <w:p>
      <w:pPr>
        <w:pStyle w:val="Heading2"/>
      </w:pPr>
      <w:r>
        <w:t xml:space="preserve">A.2 Mitarbeiterzufriedenheit – und was sie bedingt</w:t>
      </w:r>
    </w:p>
    <w:p>
      <w:pPr>
        <w:spacing w:after="140" w:before="0" w:line="268"/>
      </w:pPr>
      <w:r>
        <w:rPr>
          <w:b/>
          <w:bCs/>
        </w:rPr>
        <w:t xml:space="preserve">Mitarbeiterzufriedenheit</w:t>
      </w:r>
      <w:r>
        <w:t xml:space="preserve"> beschreibt, wie positiv Beschäftigte ihre Arbeitssituation insgesamt erleben – die Tätigkeit selbst, die Zusammenarbeit, die Führung, die Bezahlung, die Entwicklungsmöglichkeiten. Sie ist kein „weiches“ Nebenthema: Zufriedene Beschäftigte sind nachweislich seltener krank, kündigen seltener und engagieren sich stärker. Um zu verstehen, </w:t>
      </w:r>
      <w:r>
        <w:rPr>
          <w:i/>
          <w:iCs/>
        </w:rPr>
        <w:t xml:space="preserve">warum</w:t>
      </w:r>
      <w:r>
        <w:t xml:space="preserve"> Menschen zufrieden sind, helfen zwei klassische Theorien.</w:t>
      </w:r>
    </w:p>
    <w:p>
      <w:pPr>
        <w:pStyle w:val="Heading3"/>
      </w:pPr>
      <w:r>
        <w:t xml:space="preserve">Maslow: die Bedürfnispyramide</w:t>
      </w:r>
    </w:p>
    <w:p>
      <w:pPr>
        <w:spacing w:after="140" w:before="0" w:line="268"/>
      </w:pPr>
      <w:r>
        <w:t xml:space="preserve">Abraham Maslow ordnete menschliche Bedürfnisse in einer Pyramide – von unten nach oben. Erst wenn die unteren Stufen einigermaßen erfüllt sind, werden die oberen wichtig. Übertragen auf die Arbeitswelt:</w:t>
      </w:r>
    </w:p>
    <w:p>
      <w:pPr>
        <w:spacing w:after="80" w:before="60"/>
      </w:pPr>
      <w:r>
        <w:rPr>
          <w:b/>
          <w:bCs/>
          <w:caps/>
          <w:color w:val="1F4E79"/>
          <w:sz w:val="18"/>
          <w:szCs w:val="18"/>
        </w:rPr>
        <w:t xml:space="preserve">M3</w:t>
      </w:r>
      <w:r>
        <w:rPr>
          <w:b/>
          <w:bCs/>
          <w:color w:val="1F4E79"/>
          <w:sz w:val="18"/>
          <w:szCs w:val="18"/>
        </w:rPr>
        <w:t xml:space="preserve">  ·  Bedürfnispyramide nach Maslow – übertragen auf den Betrieb</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3000"/>
        <w:gridCol w:w="6026"/>
      </w:tblGrid>
      <w:tr>
        <w:trPr>
          <w:tblHeader/>
        </w:trPr>
        <w:tc>
          <w:tcPr>
            <w:tcW w:type="dxa" w:w="30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Bedürfnisstufe</w:t>
            </w:r>
          </w:p>
        </w:tc>
        <w:tc>
          <w:tcPr>
            <w:tcW w:type="dxa" w:w="60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Im Unternehmen erfüllt durch …</w:t>
            </w:r>
          </w:p>
        </w:tc>
      </w:tr>
      <w:tr>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Selbstverwirklichung</w:t>
            </w:r>
          </w:p>
        </w:tc>
        <w:tc>
          <w:tcPr>
            <w:tcW w:type="dxa" w:w="60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anspruchsvolle Aufgaben, Entwicklung, Verantwortung, eigene Ideen umsetzen</w:t>
            </w:r>
          </w:p>
        </w:tc>
      </w:tr>
      <w:tr>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Wertschätzung / Anerkennung</w:t>
            </w:r>
          </w:p>
        </w:tc>
        <w:tc>
          <w:tcPr>
            <w:tcW w:type="dxa" w:w="60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Lob, Feedback, Status, sichtbare Leistung, faire Beförderung</w:t>
            </w:r>
          </w:p>
        </w:tc>
      </w:tr>
      <w:tr>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Soziale Zugehörigkeit</w:t>
            </w:r>
          </w:p>
        </w:tc>
        <w:tc>
          <w:tcPr>
            <w:tcW w:type="dxa" w:w="60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gutes Team, Rituale, Zusammenhalt, kollegiale Führung</w:t>
            </w:r>
          </w:p>
        </w:tc>
      </w:tr>
      <w:tr>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Sicherheit</w:t>
            </w:r>
          </w:p>
        </w:tc>
        <w:tc>
          <w:tcPr>
            <w:tcW w:type="dxa" w:w="60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sicherer Arbeitsplatz, Arbeitsschutz, verlässliche Bezahlung</w:t>
            </w:r>
          </w:p>
        </w:tc>
      </w:tr>
      <w:tr>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Grundbedürfnisse</w:t>
            </w:r>
          </w:p>
        </w:tc>
        <w:tc>
          <w:tcPr>
            <w:tcW w:type="dxa" w:w="60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Lohn zum Lebensunterhalt, Pausen, erträgliche Arbeitsbedingungen</w:t>
            </w:r>
          </w:p>
        </w:tc>
      </w:tr>
    </w:tbl>
    <w:p>
      <w:pPr>
        <w:spacing w:after="140" w:before="0" w:line="268"/>
      </w:pPr>
      <w:r>
        <w:rPr>
          <w:b/>
          <w:bCs/>
        </w:rPr>
        <w:t xml:space="preserve">Lies die Tabelle von unten nach oben. </w:t>
      </w:r>
      <w:r>
        <w:t xml:space="preserve">Wer um seinen Arbeitsplatz bangt (Sicherheit), den motiviert ein Workshop zur „Selbstverwirklichung“ wenig. Die Kultur eines Unternehmens wirkt vor allem auf die oberen drei Stufen – Zugehörigkeit, Anerkennung, Selbstverwirklichung.</w:t>
      </w:r>
    </w:p>
    <w:p>
      <w:pPr>
        <w:spacing w:after="60"/>
      </w:pPr>
      <w:r>
        <w:t xml:space="preserve"/>
      </w:r>
    </w:p>
    <w:p>
      <w:pPr>
        <w:pStyle w:val="Heading3"/>
      </w:pPr>
      <w:r>
        <w:t xml:space="preserve">Herzberg: warum gute Bezahlung allein nicht glücklich macht</w:t>
      </w:r>
    </w:p>
    <w:p>
      <w:pPr>
        <w:spacing w:after="140" w:before="0" w:line="268"/>
      </w:pPr>
      <w:r>
        <w:t xml:space="preserve">Frederick Herzberg machte eine überraschende Entdeckung: Die Dinge, die </w:t>
      </w:r>
      <w:r>
        <w:rPr>
          <w:b/>
          <w:bCs/>
        </w:rPr>
        <w:t xml:space="preserve">Unzufriedenheit</w:t>
      </w:r>
      <w:r>
        <w:t xml:space="preserve"> auslösen, sind nicht dieselben, die </w:t>
      </w:r>
      <w:r>
        <w:rPr>
          <w:b/>
          <w:bCs/>
        </w:rPr>
        <w:t xml:space="preserve">Zufriedenheit</w:t>
      </w:r>
      <w:r>
        <w:t xml:space="preserve"> erzeugen. Er unterschied deshalb zwei Gruppen von Faktoren.</w:t>
      </w:r>
    </w:p>
    <w:tbl>
      <w:tblPr>
        <w:tblW w:type="dxa" w:w="9026"/>
        <w:tblBorders>
          <w:top w:val="none" w:color="FFFFFF" w:sz="0"/>
          <w:left w:val="none" w:color="FFFFFF" w:sz="0"/>
          <w:bottom w:val="none" w:color="FFFFFF" w:sz="0"/>
          <w:right w:val="none" w:color="FFFFFF" w:sz="0"/>
          <w:insideH w:val="single" w:color="auto" w:sz="4"/>
          <w:insideV w:val="none" w:color="FFFFFF" w:sz="0"/>
        </w:tblBorders>
      </w:tblPr>
      <w:tblGrid>
        <w:gridCol w:w="4453"/>
        <w:gridCol w:w="120"/>
        <w:gridCol w:w="4453"/>
      </w:tblGrid>
      <w:tr>
        <w:trPr>
          <w:cantSplit/>
        </w:trPr>
        <w:tc>
          <w:tcPr>
            <w:tcW w:type="dxa" w:w="4453"/>
            <w:tcBorders>
              <w:top w:val="single" w:color="B0341E" w:sz="4"/>
              <w:left w:val="single" w:color="B0341E" w:sz="18"/>
              <w:bottom w:val="single" w:color="B0341E" w:sz="4"/>
              <w:right w:val="single" w:color="B0341E" w:sz="4"/>
            </w:tcBorders>
            <w:shd w:fill="F8E8E3" w:val="clear"/>
            <w:tcMar>
              <w:top w:type="dxa" w:w="120"/>
              <w:left w:type="dxa" w:w="160"/>
              <w:bottom w:type="dxa" w:w="120"/>
              <w:right w:type="dxa" w:w="160"/>
            </w:tcMar>
          </w:tcPr>
          <w:p>
            <w:pPr>
              <w:spacing w:after="80"/>
            </w:pPr>
            <w:r>
              <w:rPr>
                <w:b/>
                <w:bCs/>
                <w:color w:val="B0341E"/>
                <w:sz w:val="20"/>
                <w:szCs w:val="20"/>
              </w:rPr>
              <w:t xml:space="preserve">Hygienefaktoren</w:t>
            </w:r>
          </w:p>
          <w:p>
            <w:pPr>
              <w:pStyle w:val="ListParagraph"/>
              <w:numPr>
                <w:ilvl w:val="0"/>
                <w:numId w:val="2"/>
              </w:numPr>
              <w:spacing w:after="50" w:line="256"/>
            </w:pPr>
            <w:r>
              <w:rPr>
                <w:sz w:val="20"/>
                <w:szCs w:val="20"/>
              </w:rPr>
              <w:t xml:space="preserve">Gehalt, Sozialleistungen</w:t>
            </w:r>
          </w:p>
          <w:p>
            <w:pPr>
              <w:pStyle w:val="ListParagraph"/>
              <w:numPr>
                <w:ilvl w:val="0"/>
                <w:numId w:val="2"/>
              </w:numPr>
              <w:spacing w:after="50" w:line="256"/>
            </w:pPr>
            <w:r>
              <w:rPr>
                <w:sz w:val="20"/>
                <w:szCs w:val="20"/>
              </w:rPr>
              <w:t xml:space="preserve">Arbeitsbedingungen, Sicherheit</w:t>
            </w:r>
          </w:p>
          <w:p>
            <w:pPr>
              <w:pStyle w:val="ListParagraph"/>
              <w:numPr>
                <w:ilvl w:val="0"/>
                <w:numId w:val="2"/>
              </w:numPr>
              <w:spacing w:after="50" w:line="256"/>
            </w:pPr>
            <w:r>
              <w:rPr>
                <w:sz w:val="20"/>
                <w:szCs w:val="20"/>
              </w:rPr>
              <w:t xml:space="preserve">Verhältnis zu Vorgesetzten und Kollegen</w:t>
            </w:r>
          </w:p>
          <w:p>
            <w:pPr>
              <w:pStyle w:val="ListParagraph"/>
              <w:numPr>
                <w:ilvl w:val="0"/>
                <w:numId w:val="2"/>
              </w:numPr>
              <w:spacing w:after="50" w:line="256"/>
            </w:pPr>
            <w:r>
              <w:rPr>
                <w:sz w:val="20"/>
                <w:szCs w:val="20"/>
              </w:rPr>
              <w:t xml:space="preserve">Unternehmenspolitik, Status</w:t>
            </w:r>
          </w:p>
          <w:p>
            <w:pPr>
              <w:pStyle w:val="ListParagraph"/>
              <w:numPr>
                <w:ilvl w:val="0"/>
                <w:numId w:val="2"/>
              </w:numPr>
              <w:spacing w:after="50" w:line="256"/>
            </w:pPr>
            <w:r>
              <w:rPr>
                <w:b/>
                <w:bCs/>
              </w:rPr>
              <w:t xml:space="preserve">Wirkung: </w:t>
            </w:r>
            <w:r>
              <w:t xml:space="preserve">Fehlen sie, entsteht Unzufriedenheit. Sind sie da, verhindern sie Unzufriedenheit – sie motivieren aber nicht.</w:t>
            </w:r>
          </w:p>
        </w:tc>
        <w:tc>
          <w:tcPr>
            <w:tcW w:type="dxa" w:w="120"/>
            <w:tcBorders>
              <w:top w:val="none" w:color="FFFFFF" w:sz="0"/>
              <w:left w:val="none" w:color="FFFFFF" w:sz="0"/>
              <w:bottom w:val="none" w:color="FFFFFF" w:sz="0"/>
              <w:right w:val="none" w:color="FFFFFF" w:sz="0"/>
            </w:tcBorders>
          </w:tcPr>
          <w:p/>
        </w:tc>
        <w:tc>
          <w:tcPr>
            <w:tcW w:type="dxa" w:w="4453"/>
            <w:tcBorders>
              <w:top w:val="single" w:color="15803D" w:sz="4"/>
              <w:left w:val="single" w:color="15803D" w:sz="18"/>
              <w:bottom w:val="single" w:color="15803D" w:sz="4"/>
              <w:right w:val="single" w:color="15803D" w:sz="4"/>
            </w:tcBorders>
            <w:shd w:fill="E6F2EA" w:val="clear"/>
            <w:tcMar>
              <w:top w:type="dxa" w:w="120"/>
              <w:left w:type="dxa" w:w="160"/>
              <w:bottom w:type="dxa" w:w="120"/>
              <w:right w:type="dxa" w:w="160"/>
            </w:tcMar>
          </w:tcPr>
          <w:p>
            <w:pPr>
              <w:spacing w:after="80"/>
            </w:pPr>
            <w:r>
              <w:rPr>
                <w:b/>
                <w:bCs/>
                <w:color w:val="15803D"/>
                <w:sz w:val="20"/>
                <w:szCs w:val="20"/>
              </w:rPr>
              <w:t xml:space="preserve">Motivatoren</w:t>
            </w:r>
          </w:p>
          <w:p>
            <w:pPr>
              <w:pStyle w:val="ListParagraph"/>
              <w:numPr>
                <w:ilvl w:val="0"/>
                <w:numId w:val="2"/>
              </w:numPr>
              <w:spacing w:after="50" w:line="256"/>
            </w:pPr>
            <w:r>
              <w:rPr>
                <w:sz w:val="20"/>
                <w:szCs w:val="20"/>
              </w:rPr>
              <w:t xml:space="preserve">Leistung und Erfolgserlebnisse</w:t>
            </w:r>
          </w:p>
          <w:p>
            <w:pPr>
              <w:pStyle w:val="ListParagraph"/>
              <w:numPr>
                <w:ilvl w:val="0"/>
                <w:numId w:val="2"/>
              </w:numPr>
              <w:spacing w:after="50" w:line="256"/>
            </w:pPr>
            <w:r>
              <w:rPr>
                <w:sz w:val="20"/>
                <w:szCs w:val="20"/>
              </w:rPr>
              <w:t xml:space="preserve">Anerkennung</w:t>
            </w:r>
          </w:p>
          <w:p>
            <w:pPr>
              <w:pStyle w:val="ListParagraph"/>
              <w:numPr>
                <w:ilvl w:val="0"/>
                <w:numId w:val="2"/>
              </w:numPr>
              <w:spacing w:after="50" w:line="256"/>
            </w:pPr>
            <w:r>
              <w:rPr>
                <w:sz w:val="20"/>
                <w:szCs w:val="20"/>
              </w:rPr>
              <w:t xml:space="preserve">die Tätigkeit selbst (interessant?)</w:t>
            </w:r>
          </w:p>
          <w:p>
            <w:pPr>
              <w:pStyle w:val="ListParagraph"/>
              <w:numPr>
                <w:ilvl w:val="0"/>
                <w:numId w:val="2"/>
              </w:numPr>
              <w:spacing w:after="50" w:line="256"/>
            </w:pPr>
            <w:r>
              <w:rPr>
                <w:sz w:val="20"/>
                <w:szCs w:val="20"/>
              </w:rPr>
              <w:t xml:space="preserve">Verantwortung, Aufstieg, Entwicklung</w:t>
            </w:r>
          </w:p>
          <w:p>
            <w:pPr>
              <w:pStyle w:val="ListParagraph"/>
              <w:numPr>
                <w:ilvl w:val="0"/>
                <w:numId w:val="2"/>
              </w:numPr>
              <w:spacing w:after="50" w:line="256"/>
            </w:pPr>
            <w:r>
              <w:rPr>
                <w:b/>
                <w:bCs/>
              </w:rPr>
              <w:t xml:space="preserve">Wirkung: </w:t>
            </w:r>
            <w:r>
              <w:t xml:space="preserve">Sie erzeugen echte Zufriedenheit und Motivation – fehlen sie, herrscht eher Gleichgültigkeit.</w:t>
            </w:r>
          </w:p>
        </w:tc>
      </w:tr>
    </w:tbl>
    <w:p>
      <w:pPr>
        <w:spacing w:after="140" w:before="0" w:line="268"/>
      </w:pPr>
      <w:r>
        <w:rPr>
          <w:b/>
          <w:bCs/>
        </w:rPr>
        <w:t xml:space="preserve">Die zentrale Lehre für Kompetenz (10): </w:t>
      </w:r>
      <w:r>
        <w:t xml:space="preserve">Geld ist bei Herzberg ein Hygienefaktor. Eine faire Bezahlung verhindert Unzufriedenheit – aber dauerhaft motivieren lässt sich kaum jemand allein über das Gehalt. Das erklärt, warum die VeloTec-Kultur (Anerkennung, Verantwortung, interessante Aufgaben) so stark wirkt: Sie bedient genau die Motivatoren. Merke dir diesen Gedanken – in Teil B bewertest du Entlohnungsformen, und Herzberg ist dabei dein wichtigstes Werkzeug.</w:t>
      </w:r>
    </w:p>
    <w:p>
      <w:pPr>
        <w:spacing w:after="60"/>
      </w:pPr>
      <w:r>
        <w:t xml:space="preserve"/>
      </w:r>
    </w:p>
    <w:p>
      <w:pPr>
        <w:pStyle w:val="Heading2"/>
      </w:pPr>
      <w:r>
        <w:t xml:space="preserve">A.3 Die Wechselwirkung – in beide Richtungen</w:t>
      </w:r>
    </w:p>
    <w:p>
      <w:pPr>
        <w:spacing w:after="140" w:before="0" w:line="268"/>
      </w:pPr>
      <w:r>
        <w:t xml:space="preserve">Jetzt zum Kern von Kompetenz (9). Unternehmenskultur und Zufriedenheit stehen nicht nebeneinander – sie </w:t>
      </w:r>
      <w:r>
        <w:rPr>
          <w:b/>
          <w:bCs/>
        </w:rPr>
        <w:t xml:space="preserve">bedingen sich gegenseitig</w:t>
      </w:r>
      <w:r>
        <w:t xml:space="preserve"> und bilden einen Kreislauf, der sich selbst verstärkt.</w:t>
      </w:r>
    </w:p>
    <w:p>
      <w:pPr>
        <w:spacing w:after="80" w:before="60"/>
      </w:pPr>
      <w:r>
        <w:rPr>
          <w:b/>
          <w:bCs/>
          <w:caps/>
          <w:color w:val="1F4E79"/>
          <w:sz w:val="18"/>
          <w:szCs w:val="18"/>
        </w:rPr>
        <w:t xml:space="preserve">M4</w:t>
      </w:r>
      <w:r>
        <w:rPr>
          <w:b/>
          <w:bCs/>
          <w:color w:val="1F4E79"/>
          <w:sz w:val="18"/>
          <w:szCs w:val="18"/>
        </w:rPr>
        <w:t xml:space="preserve">  ·  Der Kreislauf von Kultur und Zufriedenheit</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4513"/>
        <w:gridCol w:w="4513"/>
      </w:tblGrid>
      <w:tr>
        <w:trPr>
          <w:tblHeader/>
        </w:trPr>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Kultur → Zufriedenheit</w:t>
            </w:r>
          </w:p>
        </w:tc>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Zufriedenheit → Kultur</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Eine vertrauensvolle, anerkennende Kultur (wie bei VeloTec) erfüllt soziale, Anerkennungs- und Selbstverwirklichungsbedürfnisse. Die Folge: höhere Zufriedenheit, mehr Engagement, weniger Kündigungen.</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Zufriedene Beschäftigte tragen die Kultur aktiv weiter: Sie helfen Neuen, bringen Ideen ein, gehen wertschätzend miteinander um. Dadurch festigen und erneuern sie die Kultur – der Kreis schließt sich.</w:t>
            </w:r>
          </w:p>
        </w:tc>
      </w:tr>
    </w:tbl>
    <w:p>
      <w:pPr>
        <w:spacing w:after="140" w:before="0" w:line="268"/>
      </w:pPr>
      <w:r>
        <w:rPr>
          <w:b/>
          <w:bCs/>
        </w:rPr>
        <w:t xml:space="preserve">Beide Richtungen können auch negativ laufen. </w:t>
      </w:r>
      <w:r>
        <w:t xml:space="preserve">Bei der Velomax AG erzeugt die Misstrauenskultur Unzufriedenheit; unzufriedene Beschäftigte ziehen sich zurück, teilen Wissen nicht, kündigen – was die Kultur weiter vergiftet. So entsteht eine Abwärtsspirale. Genau deshalb spricht der Bildungsplan von einer </w:t>
      </w:r>
      <w:r>
        <w:rPr>
          <w:b/>
          <w:bCs/>
        </w:rPr>
        <w:t xml:space="preserve">Wechselwirkung</w:t>
      </w:r>
      <w:r>
        <w:t xml:space="preserve">: Ursache und Wirkung sind nicht eindeutig getrennt – jede Seite verstärkt die andere.</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Beispiel · Was Kultur konkret bewirkt</w:t>
            </w:r>
          </w:p>
          <w:p>
            <w:pPr>
              <w:spacing w:after="0" w:before="0" w:line="268"/>
            </w:pPr>
            <w:r>
              <w:rPr>
                <w:b/>
                <w:bCs/>
              </w:rPr>
              <w:t xml:space="preserve">Die Zahlen hinter dem guten Gefühl. </w:t>
            </w:r>
            <w:r>
              <w:t xml:space="preserve">Studien zum Arbeitsklima (z. B. der jährliche Gallup Engagement Index für Deutschland) zeigen regelmäßig: Beschäftigte mit hoher emotionaler Bindung an ihren Arbeitgeber fehlen seltener, sind produktiver und bleiben länger. Umgekehrt verursacht innere Kündigung – „Dienst nach Vorschrift“ – betriebswirtschaftlich messbare Kosten durch Fehlzeiten und Fluktuation. Kultur ist also kein Luxus, sondern ein harter Standortfaktor im Wettbewerb um Fachkräfte.</w:t>
            </w:r>
          </w:p>
        </w:tc>
      </w:tr>
    </w:tbl>
    <w:p>
      <w:pPr>
        <w:keepNext/>
        <w:pBdr>
          <w:top w:val="single" w:color="5B3FA0" w:sz="4" w:space="6"/>
        </w:pBdr>
        <w:spacing w:after="60" w:before="170"/>
      </w:pPr>
      <w:r>
        <w:rPr>
          <w:b/>
          <w:bCs/>
          <w:color w:val="5B3FA0"/>
          <w:sz w:val="21"/>
          <w:szCs w:val="21"/>
        </w:rPr>
        <w:t xml:space="preserve">Digitale Übung · </w:t>
      </w:r>
      <w:r>
        <w:rPr>
          <w:b/>
          <w:bCs/>
          <w:color w:val="5B3FA0"/>
          <w:sz w:val="21"/>
          <w:szCs w:val="21"/>
        </w:rPr>
        <w:t xml:space="preserve">Kultur-Kreislauf</w:t>
      </w:r>
    </w:p>
    <w:p>
      <w:pPr>
        <w:spacing w:after="150"/>
      </w:pPr>
      <w:r>
        <w:rPr>
          <w:color w:val="1F2937"/>
          <w:sz w:val="19"/>
          <w:szCs w:val="19"/>
        </w:rPr>
        <w:t xml:space="preserve">Eine interaktive HTML-Übung visualisiert den Kreislauf aus M4: Du ziehst Maßnahmen (z. B. „Freitagsrunde einführen“, „Fehler bestrafen“) in ein Unternehmen und beobachtest, wie sich Zufriedenheit und Kultur über mehrere Runden entwickeln – aufwärts oder abwärts. (Screenshot und QR-Code folgen.)</w:t>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10" w:line="264"/>
              <w:ind w:left="360" w:hanging="360"/>
            </w:pPr>
            <w:r>
              <w:rPr>
                <w:b/>
                <w:bCs/>
                <w:color w:val="B45309"/>
              </w:rPr>
              <w:t xml:space="preserve">1  </w:t>
            </w:r>
            <w:r>
              <w:t xml:space="preserve">Erkläre das Drei-Ebenen-Modell von Schein und ordne die im Leitfall (M1) genannten Beispiele den drei Ebenen zu.</w:t>
            </w:r>
            <w:r>
              <w:rPr>
                <w:i/>
                <w:iCs/>
                <w:color w:val="6B7280"/>
                <w:sz w:val="17"/>
                <w:szCs w:val="17"/>
              </w:rPr>
              <w:t xml:space="preserve">  (AFB I)</w:t>
            </w:r>
          </w:p>
          <w:p>
            <w:pPr>
              <w:spacing w:after="110" w:line="264"/>
              <w:ind w:left="360" w:hanging="360"/>
            </w:pPr>
            <w:r>
              <w:rPr>
                <w:b/>
                <w:bCs/>
                <w:color w:val="B45309"/>
              </w:rPr>
              <w:t xml:space="preserve">2  </w:t>
            </w:r>
            <w:r>
              <w:t xml:space="preserve">Arbeite den Unterschied zwischen Werten, Normen und Ritualen an je einem eigenen Beispiel heraus.</w:t>
            </w:r>
            <w:r>
              <w:rPr>
                <w:i/>
                <w:iCs/>
                <w:color w:val="6B7280"/>
                <w:sz w:val="17"/>
                <w:szCs w:val="17"/>
              </w:rPr>
              <w:t xml:space="preserve">  (AFB II)</w:t>
            </w:r>
          </w:p>
          <w:p>
            <w:pPr>
              <w:spacing w:after="110" w:line="264"/>
              <w:ind w:left="360" w:hanging="360"/>
            </w:pPr>
            <w:r>
              <w:rPr>
                <w:b/>
                <w:bCs/>
                <w:color w:val="B45309"/>
              </w:rPr>
              <w:t xml:space="preserve">3  </w:t>
            </w:r>
            <w:r>
              <w:t xml:space="preserve">Wende das Modell von Herzberg auf den Leitfall an: Welche Faktoren bei VeloTec sind Motivatoren, welche bei Velomax fehlende Hygienefaktoren?</w:t>
            </w:r>
            <w:r>
              <w:rPr>
                <w:i/>
                <w:iCs/>
                <w:color w:val="6B7280"/>
                <w:sz w:val="17"/>
                <w:szCs w:val="17"/>
              </w:rPr>
              <w:t xml:space="preserve">  (AFB II)</w:t>
            </w:r>
          </w:p>
          <w:p>
            <w:pPr>
              <w:spacing w:after="110" w:line="264"/>
              <w:ind w:left="360" w:hanging="360"/>
            </w:pPr>
            <w:r>
              <w:rPr>
                <w:b/>
                <w:bCs/>
                <w:color w:val="B45309"/>
              </w:rPr>
              <w:t xml:space="preserve">4  </w:t>
            </w:r>
            <w:r>
              <w:t xml:space="preserve">Stelle die Wechselwirkung von Unternehmenskultur und Mitarbeiterzufriedenheit dar – einmal als Aufwärts- (VeloTec) und einmal als Abwärtsspirale (Velomax). Nutze ein Wirkungsdiagramm.</w:t>
            </w:r>
            <w:r>
              <w:rPr>
                <w:i/>
                <w:iCs/>
                <w:color w:val="6B7280"/>
                <w:sz w:val="17"/>
                <w:szCs w:val="17"/>
              </w:rPr>
              <w:t xml:space="preserve">  (AFB II)</w:t>
            </w:r>
          </w:p>
          <w:p>
            <w:pPr>
              <w:spacing w:after="110" w:line="264"/>
              <w:ind w:left="360" w:hanging="360"/>
            </w:pPr>
            <w:r>
              <w:rPr>
                <w:b/>
                <w:bCs/>
                <w:color w:val="B45309"/>
              </w:rPr>
              <w:t xml:space="preserve">5  </w:t>
            </w:r>
            <w:r>
              <w:rPr>
                <w:b/>
                <w:bCs/>
              </w:rPr>
              <w:t xml:space="preserve">Beurteile</w:t>
            </w:r>
            <w:r>
              <w:t xml:space="preserve">, ob sich Investitionen in die Unternehmenskultur für ein Unternehmen „rechnen“. Beziehe M4 und das Beispiel ein.</w:t>
            </w:r>
            <w:r>
              <w:rPr>
                <w:i/>
                <w:iCs/>
                <w:color w:val="6B7280"/>
                <w:sz w:val="17"/>
                <w:szCs w:val="17"/>
              </w:rPr>
              <w:t xml:space="preserve">  (AFB III)</w:t>
            </w:r>
          </w:p>
        </w:tc>
      </w:tr>
    </w:tbl>
    <w:p>
      <w:pPr>
        <w:pBdr>
          <w:bottom w:val="single" w:color="1F4E79" w:sz="6" w:space="1"/>
        </w:pBdr>
        <w:spacing w:after="160" w:before="60"/>
      </w:pPr>
      <w:r>
        <w:t xml:space="preserve"/>
      </w:r>
    </w:p>
    <w:p>
      <w:r>
        <w:br w:type="page"/>
      </w:r>
    </w:p>
    <w:p>
      <w:pPr>
        <w:pStyle w:val="Heading1"/>
      </w:pPr>
      <w:r>
        <w:t xml:space="preserve">Teil B · Entlohnungsformen bewerten</w:t>
      </w:r>
    </w:p>
    <w:p>
      <w:pPr>
        <w:spacing w:after="140" w:before="0" w:line="268"/>
      </w:pPr>
      <w:r>
        <w:rPr>
          <w:b/>
          <w:bCs/>
          <w:color w:val="1F4E79"/>
        </w:rPr>
        <w:t xml:space="preserve">Kompetenz (10): </w:t>
      </w:r>
      <w:r>
        <w:rPr>
          <w:i/>
          <w:iCs/>
        </w:rPr>
        <w:t xml:space="preserve">Entlohnungsformen aus Arbeitgeber- und Arbeitnehmersicht bewerten.</w:t>
      </w:r>
    </w:p>
    <w:p>
      <w:pPr>
        <w:spacing w:after="140" w:before="0" w:line="268"/>
      </w:pPr>
      <w:r>
        <w:t xml:space="preserve">Aus Teil A nimmst du eine Erkenntnis mit: Geld ist nach Herzberg vor allem ein </w:t>
      </w:r>
      <w:r>
        <w:rPr>
          <w:b/>
          <w:bCs/>
        </w:rPr>
        <w:t xml:space="preserve">Hygienefaktor</w:t>
      </w:r>
      <w:r>
        <w:t xml:space="preserve"> – eine ungerechte Bezahlung macht zuverlässig unzufrieden, eine gute allein aber selten dauerhaft glücklich. Trotzdem ist die Frage „Wie wird bezahlt?“ für beide Seiten zentral: Sie entscheidet über Leistung, Gerechtigkeit, Kosten und Risiko. In diesem Teil lernst du die wichtigsten Entlohnungsformen kennen – und bewertest sie aus zwei Perspektiven.</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M5</w:t>
            </w:r>
            <w:r>
              <w:rPr>
                <w:b/>
                <w:bCs/>
                <w:color w:val="1F4E79"/>
                <w:sz w:val="18"/>
                <w:szCs w:val="18"/>
              </w:rPr>
              <w:t xml:space="preserve">  ·  Leitfall: Wie soll VeloTec die Montage bezahlen?</w:t>
            </w:r>
          </w:p>
          <w:p>
            <w:pPr>
              <w:spacing w:after="140" w:before="0" w:line="268"/>
            </w:pPr>
            <w:r>
              <w:t xml:space="preserve">In der VeloTec-Montage wird über die Bezahlung diskutiert. Drei Stimmen:</w:t>
            </w:r>
          </w:p>
          <w:p>
            <w:pPr>
              <w:spacing w:after="140" w:before="0" w:line="268"/>
            </w:pPr>
            <w:r>
              <w:rPr>
                <w:b/>
                <w:bCs/>
              </w:rPr>
              <w:t xml:space="preserve">Eine erfahrene Monteurin: </w:t>
            </w:r>
            <w:r>
              <w:t xml:space="preserve">„Ich bin schnell und sorgfältig. Wer mehr leistet, sollte auch mehr verdienen – nicht jeder das Gleiche.“</w:t>
            </w:r>
          </w:p>
          <w:p>
            <w:pPr>
              <w:spacing w:after="140" w:before="0" w:line="268"/>
            </w:pPr>
            <w:r>
              <w:rPr>
                <w:b/>
                <w:bCs/>
              </w:rPr>
              <w:t xml:space="preserve">Ein neuer Kollege: </w:t>
            </w:r>
            <w:r>
              <w:t xml:space="preserve">„Wenn nur Tempo zählt, leidet die Qualität – und ich als Langsamerer habe am Monatsende zu wenig zum Leben.“</w:t>
            </w:r>
          </w:p>
          <w:p>
            <w:pPr>
              <w:spacing w:after="140" w:before="0" w:line="268"/>
            </w:pPr>
            <w:r>
              <w:rPr>
                <w:b/>
                <w:bCs/>
              </w:rPr>
              <w:t xml:space="preserve">Die Geschäftsführerin: </w:t>
            </w:r>
            <w:r>
              <w:t xml:space="preserve">„Ich brauche kalkulierbare Kosten, gleichbleibende Qualität – und motivierte Leute, die bleiben.“</w:t>
            </w:r>
          </w:p>
          <w:p>
            <w:pPr>
              <w:spacing w:after="0" w:before="0" w:line="268"/>
            </w:pPr>
            <w:r>
              <w:rPr>
                <w:b/>
                <w:bCs/>
              </w:rPr>
              <w:t xml:space="preserve">Die Leitfrage: </w:t>
            </w:r>
            <w:r>
              <w:t xml:space="preserve">Welche Entlohnungsform wird allen drei Interessen am ehesten gerecht? Und warum gibt es nicht einfach „die beste“ Bezahlung für alle?</w:t>
            </w:r>
          </w:p>
        </w:tc>
      </w:tr>
    </w:tbl>
    <w:p>
      <w:pPr>
        <w:spacing w:after="60"/>
      </w:pPr>
      <w:r>
        <w:t xml:space="preserve"/>
      </w:r>
    </w:p>
    <w:p>
      <w:pPr>
        <w:pStyle w:val="Heading2"/>
      </w:pPr>
      <w:r>
        <w:t xml:space="preserve">B.1 Die wichtigsten Entlohnungsformen im Überblick</w:t>
      </w:r>
    </w:p>
    <w:p>
      <w:pPr>
        <w:spacing w:after="140" w:before="0" w:line="268"/>
      </w:pPr>
      <w:r>
        <w:t xml:space="preserve">Man unterscheidet Grundformen, die festlegen, wovon die Höhe des Lohns abhängt, und Ergänzungen, die hinzukommen können.</w:t>
      </w:r>
    </w:p>
    <w:p>
      <w:pPr>
        <w:spacing w:after="80" w:before="60"/>
      </w:pPr>
      <w:r>
        <w:rPr>
          <w:b/>
          <w:bCs/>
          <w:caps/>
          <w:color w:val="1F4E79"/>
          <w:sz w:val="18"/>
          <w:szCs w:val="18"/>
        </w:rPr>
        <w:t xml:space="preserve">M6</w:t>
      </w:r>
      <w:r>
        <w:rPr>
          <w:b/>
          <w:bCs/>
          <w:color w:val="1F4E79"/>
          <w:sz w:val="18"/>
          <w:szCs w:val="18"/>
        </w:rPr>
        <w:t xml:space="preserve">  ·  Grundformen der Entlohnung</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200"/>
        <w:gridCol w:w="3000"/>
        <w:gridCol w:w="3826"/>
      </w:tblGrid>
      <w:tr>
        <w:trPr>
          <w:tblHeader/>
        </w:trPr>
        <w:tc>
          <w:tcPr>
            <w:tcW w:type="dxa" w:w="22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Form</w:t>
            </w:r>
          </w:p>
        </w:tc>
        <w:tc>
          <w:tcPr>
            <w:tcW w:type="dxa" w:w="30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Wovon hängt der Lohn ab?</w:t>
            </w:r>
          </w:p>
        </w:tc>
        <w:tc>
          <w:tcPr>
            <w:tcW w:type="dxa" w:w="38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Typisch für …</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Zeitlohn</w:t>
            </w:r>
          </w:p>
        </w:tc>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von der gearbeiteten Zeit (Stunden-/Monatslohn), unabhängig von der Menge</w:t>
            </w:r>
          </w:p>
        </w:tc>
        <w:tc>
          <w:tcPr>
            <w:tcW w:type="dxa" w:w="3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Tätigkeiten, bei denen Qualität und Sorgfalt zählen oder die Menge schwer messbar ist (Verwaltung, Montage, Pflege)</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Akkordlohn</w:t>
            </w:r>
          </w:p>
        </w:tc>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von der produzierten Menge (Stückzahl) – je mehr, desto mehr Lohn</w:t>
            </w:r>
          </w:p>
        </w:tc>
        <w:tc>
          <w:tcPr>
            <w:tcW w:type="dxa" w:w="3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einfache, gleichartige, gut messbare Tätigkeiten (klassische Fertigung)</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Prämienlohn</w:t>
            </w:r>
          </w:p>
        </w:tc>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Grundlohn plus Zuschlag für besondere Leistung (Menge, Qualität, Termintreue, Materialersparnis)</w:t>
            </w:r>
          </w:p>
        </w:tc>
        <w:tc>
          <w:tcPr>
            <w:tcW w:type="dxa" w:w="3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moderne Fertigung, in der mehrere Ziele zugleich zählen</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Gehalt</w:t>
            </w:r>
          </w:p>
        </w:tc>
        <w:tc>
          <w:tcPr>
            <w:tcW w:type="dxa" w:w="3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fester Monatsbetrag, unabhängig von Stunden oder Stück</w:t>
            </w:r>
          </w:p>
        </w:tc>
        <w:tc>
          <w:tcPr>
            <w:tcW w:type="dxa" w:w="3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Angestellte, Führung, qualifizierte Tätigkeiten</w:t>
            </w:r>
          </w:p>
        </w:tc>
      </w:tr>
    </w:tbl>
    <w:p>
      <w:pPr>
        <w:spacing w:after="60"/>
      </w:pPr>
      <w:r>
        <w:t xml:space="preserve"/>
      </w:r>
    </w:p>
    <w:p>
      <w:pPr>
        <w:pStyle w:val="Heading3"/>
      </w:pPr>
      <w:r>
        <w:t xml:space="preserve">Ergänzende und moderne Formen</w:t>
      </w:r>
    </w:p>
    <w:p>
      <w:pPr>
        <w:spacing w:after="140" w:before="0" w:line="268"/>
      </w:pPr>
      <w:r>
        <w:t xml:space="preserve">Über die Grundformen hinaus gewinnen variable und immaterielle Bestandteile an Bedeutung – gerade dort, wo Unternehmen um Fachkräfte werben:</w:t>
      </w:r>
    </w:p>
    <w:p>
      <w:pPr>
        <w:pStyle w:val="ListParagraph"/>
        <w:numPr>
          <w:ilvl w:val="0"/>
          <w:numId w:val="2"/>
        </w:numPr>
        <w:spacing w:after="70" w:line="264"/>
      </w:pPr>
      <w:r>
        <w:rPr>
          <w:b/>
          <w:bCs/>
        </w:rPr>
        <w:t xml:space="preserve">Erfolgs- und Gewinnbeteiligung: </w:t>
      </w:r>
      <w:r>
        <w:t xml:space="preserve">Beschäftigte erhalten einen Anteil am Unternehmenserfolg (Bonus, Prämie, Aktien). Das bindet und beteiligt – schwankt aber mit der Lage.</w:t>
      </w:r>
    </w:p>
    <w:p>
      <w:pPr>
        <w:pStyle w:val="ListParagraph"/>
        <w:numPr>
          <w:ilvl w:val="0"/>
          <w:numId w:val="2"/>
        </w:numPr>
        <w:spacing w:after="70" w:line="264"/>
      </w:pPr>
      <w:r>
        <w:rPr>
          <w:b/>
          <w:bCs/>
        </w:rPr>
        <w:t xml:space="preserve">Zulagen und Sozialleistungen: </w:t>
      </w:r>
      <w:r>
        <w:t xml:space="preserve">Schicht- und Gefahrenzulagen, betriebliche Altersvorsorge, Zuschüsse zu Kinderbetreuung oder Mobilität.</w:t>
      </w:r>
    </w:p>
    <w:p>
      <w:pPr>
        <w:pStyle w:val="ListParagraph"/>
        <w:numPr>
          <w:ilvl w:val="0"/>
          <w:numId w:val="2"/>
        </w:numPr>
        <w:spacing w:after="70" w:line="264"/>
      </w:pPr>
      <w:r>
        <w:rPr>
          <w:b/>
          <w:bCs/>
        </w:rPr>
        <w:t xml:space="preserve">Sachbezüge und „Benefits“: </w:t>
      </w:r>
      <w:r>
        <w:t xml:space="preserve">Dienstrad, Jobticket, Fortbildungen, flexible Arbeitszeit, Homeoffice – oft als Motivatoren im Sinne Herzbergs wirksamer als ein paar Euro mehr brutto.</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Merke</w:t>
            </w:r>
          </w:p>
          <w:p>
            <w:pPr>
              <w:spacing w:after="0" w:before="0" w:line="268"/>
            </w:pPr>
            <w:r>
              <w:t xml:space="preserve">Faustregel: </w:t>
            </w:r>
            <w:r>
              <w:rPr>
                <w:b/>
                <w:bCs/>
              </w:rPr>
              <w:t xml:space="preserve">Zeitlohn</w:t>
            </w:r>
            <w:r>
              <w:t xml:space="preserve"> sichert Qualität, </w:t>
            </w:r>
            <w:r>
              <w:rPr>
                <w:b/>
                <w:bCs/>
              </w:rPr>
              <w:t xml:space="preserve">Akkordlohn</w:t>
            </w:r>
            <w:r>
              <w:t xml:space="preserve"> treibt die Menge, </w:t>
            </w:r>
            <w:r>
              <w:rPr>
                <w:b/>
                <w:bCs/>
              </w:rPr>
              <w:t xml:space="preserve">Prämienlohn</w:t>
            </w:r>
            <w:r>
              <w:t xml:space="preserve"> versucht beides zu verbinden. Welche Form passt, hängt von der Tätigkeit ab.</w:t>
            </w:r>
          </w:p>
        </w:tc>
      </w:tr>
    </w:tbl>
    <w:p>
      <w:pPr>
        <w:spacing w:after="60"/>
      </w:pPr>
      <w:r>
        <w:t xml:space="preserve"/>
      </w:r>
    </w:p>
    <w:p>
      <w:pPr>
        <w:pStyle w:val="Heading2"/>
      </w:pPr>
      <w:r>
        <w:t xml:space="preserve">B.2 Bewertung aus zwei Perspektiven</w:t>
      </w:r>
    </w:p>
    <w:p>
      <w:pPr>
        <w:spacing w:after="140" w:before="0" w:line="268"/>
      </w:pPr>
      <w:r>
        <w:t xml:space="preserve">Der Operator der Kompetenz lautet „bewerten“ – und zwar ausdrücklich aus zwei Blickwinkeln. Dieselbe Entlohnungsform sieht je nach Perspektive ganz anders aus: Was für den Arbeitgeber ein Vorteil ist, kann für die Arbeitnehmerin ein Nachteil sein – und umgekehrt. Im Folgenden ist jede Form aus beiden Perspektiven dargestellt. Achte jeweils auf den Zielkonflikt, der dahintersteht.</w:t>
      </w:r>
    </w:p>
    <w:p>
      <w:pPr>
        <w:pStyle w:val="Heading3"/>
      </w:pPr>
      <w:r>
        <w:t xml:space="preserve">Zeitlohn</w:t>
      </w:r>
    </w:p>
    <w:p>
      <w:pPr>
        <w:spacing w:after="100" w:before="0" w:line="268"/>
      </w:pPr>
      <w:r>
        <w:rPr>
          <w:b/>
          <w:bCs/>
        </w:rPr>
        <w:t xml:space="preserve">Bezahlt wird die Zeit, nicht die Menge. </w:t>
      </w:r>
      <w:r>
        <w:t xml:space="preserve">Der Lohn ist gleich, ob viel oder wenig produziert wird – Sorgfalt steht vor Tempo.</w:t>
      </w:r>
    </w:p>
    <w:p>
      <w:pPr>
        <w:spacing w:after="80" w:before="60"/>
      </w:pPr>
      <w:r>
        <w:rPr>
          <w:b/>
          <w:bCs/>
          <w:caps/>
          <w:color w:val="1F4E79"/>
          <w:sz w:val="18"/>
          <w:szCs w:val="18"/>
        </w:rPr>
        <w:t xml:space="preserve">M7</w:t>
      </w:r>
      <w:r>
        <w:rPr>
          <w:b/>
          <w:bCs/>
          <w:color w:val="1F4E79"/>
          <w:sz w:val="18"/>
          <w:szCs w:val="18"/>
        </w:rPr>
        <w:t xml:space="preserve">  ·  Zeitlohn aus zwei Perspektiven</w:t>
      </w:r>
    </w:p>
    <w:tbl>
      <w:tblPr>
        <w:tblW w:type="dxa" w:w="9026"/>
        <w:tblBorders>
          <w:top w:val="none" w:color="FFFFFF" w:sz="0"/>
          <w:left w:val="none" w:color="FFFFFF" w:sz="0"/>
          <w:bottom w:val="none" w:color="FFFFFF" w:sz="0"/>
          <w:right w:val="none" w:color="FFFFFF" w:sz="0"/>
          <w:insideH w:val="single" w:color="auto" w:sz="4"/>
          <w:insideV w:val="none" w:color="FFFFFF" w:sz="0"/>
        </w:tblBorders>
      </w:tblPr>
      <w:tblGrid>
        <w:gridCol w:w="4453"/>
        <w:gridCol w:w="120"/>
        <w:gridCol w:w="4453"/>
      </w:tblGrid>
      <w:tr>
        <w:trPr>
          <w:cantSplit/>
        </w:trPr>
        <w:tc>
          <w:tcPr>
            <w:tcW w:type="dxa" w:w="4453"/>
            <w:tcBorders>
              <w:top w:val="single" w:color="1F4E79" w:sz="4"/>
              <w:left w:val="single" w:color="1F4E79" w:sz="18"/>
              <w:bottom w:val="single" w:color="1F4E79" w:sz="4"/>
              <w:right w:val="single" w:color="1F4E79" w:sz="4"/>
            </w:tcBorders>
            <w:shd w:fill="EAF1FB" w:val="clear"/>
            <w:tcMar>
              <w:top w:type="dxa" w:w="120"/>
              <w:left w:type="dxa" w:w="160"/>
              <w:bottom w:type="dxa" w:w="120"/>
              <w:right w:type="dxa" w:w="160"/>
            </w:tcMar>
          </w:tcPr>
          <w:p>
            <w:pPr>
              <w:spacing w:after="80"/>
            </w:pPr>
            <w:r>
              <w:rPr>
                <w:b/>
                <w:bCs/>
                <w:color w:val="1F4E79"/>
                <w:sz w:val="20"/>
                <w:szCs w:val="20"/>
              </w:rPr>
              <w:t xml:space="preserve">Aus Arbeitgebersicht</w:t>
            </w:r>
          </w:p>
          <w:p>
            <w:pPr>
              <w:pStyle w:val="ListParagraph"/>
              <w:numPr>
                <w:ilvl w:val="0"/>
                <w:numId w:val="2"/>
              </w:numPr>
              <w:spacing w:after="50" w:line="256"/>
            </w:pPr>
            <w:r>
              <w:rPr>
                <w:b/>
                <w:bCs/>
                <w:color w:val="15803D"/>
              </w:rPr>
              <w:t xml:space="preserve">+ </w:t>
            </w:r>
            <w:r>
              <w:t xml:space="preserve">gleichbleibende Qualität, weniger Ausschuss und Unfälle</w:t>
            </w:r>
          </w:p>
          <w:p>
            <w:pPr>
              <w:pStyle w:val="ListParagraph"/>
              <w:numPr>
                <w:ilvl w:val="0"/>
                <w:numId w:val="2"/>
              </w:numPr>
              <w:spacing w:after="50" w:line="256"/>
            </w:pPr>
            <w:r>
              <w:rPr>
                <w:b/>
                <w:bCs/>
                <w:color w:val="15803D"/>
              </w:rPr>
              <w:t xml:space="preserve">+ </w:t>
            </w:r>
            <w:r>
              <w:t xml:space="preserve">einfache, planbare Lohnabrechnung; gut für Teamarbeit</w:t>
            </w:r>
          </w:p>
          <w:p>
            <w:pPr>
              <w:pStyle w:val="ListParagraph"/>
              <w:numPr>
                <w:ilvl w:val="0"/>
                <w:numId w:val="2"/>
              </w:numPr>
              <w:spacing w:after="50" w:line="256"/>
            </w:pPr>
            <w:r>
              <w:rPr>
                <w:b/>
                <w:bCs/>
                <w:color w:val="B0341E"/>
              </w:rPr>
              <w:t xml:space="preserve">– </w:t>
            </w:r>
            <w:r>
              <w:t xml:space="preserve">kein eingebauter Mengenanreiz – Tempo muss anders gesteuert werden</w:t>
            </w:r>
          </w:p>
          <w:p>
            <w:pPr>
              <w:pStyle w:val="ListParagraph"/>
              <w:numPr>
                <w:ilvl w:val="0"/>
                <w:numId w:val="2"/>
              </w:numPr>
              <w:spacing w:after="50" w:line="256"/>
            </w:pPr>
            <w:r>
              <w:rPr>
                <w:b/>
                <w:bCs/>
                <w:color w:val="B0341E"/>
              </w:rPr>
              <w:t xml:space="preserve">– </w:t>
            </w:r>
            <w:r>
              <w:t xml:space="preserve">mehr Aufsicht nötig; Minderleister kosten gleich viel</w:t>
            </w:r>
          </w:p>
        </w:tc>
        <w:tc>
          <w:tcPr>
            <w:tcW w:type="dxa" w:w="120"/>
            <w:tcBorders>
              <w:top w:val="none" w:color="FFFFFF" w:sz="0"/>
              <w:left w:val="none" w:color="FFFFFF" w:sz="0"/>
              <w:bottom w:val="none" w:color="FFFFFF" w:sz="0"/>
              <w:right w:val="none" w:color="FFFFFF" w:sz="0"/>
            </w:tcBorders>
          </w:tcPr>
          <w:p/>
        </w:tc>
        <w:tc>
          <w:tcPr>
            <w:tcW w:type="dxa" w:w="4453"/>
            <w:tcBorders>
              <w:top w:val="single" w:color="5B3FA0" w:sz="4"/>
              <w:left w:val="single" w:color="5B3FA0" w:sz="18"/>
              <w:bottom w:val="single" w:color="5B3FA0" w:sz="4"/>
              <w:right w:val="single" w:color="5B3FA0" w:sz="4"/>
            </w:tcBorders>
            <w:shd w:fill="EDE9F6" w:val="clear"/>
            <w:tcMar>
              <w:top w:type="dxa" w:w="120"/>
              <w:left w:type="dxa" w:w="160"/>
              <w:bottom w:type="dxa" w:w="120"/>
              <w:right w:type="dxa" w:w="160"/>
            </w:tcMar>
          </w:tcPr>
          <w:p>
            <w:pPr>
              <w:spacing w:after="80"/>
            </w:pPr>
            <w:r>
              <w:rPr>
                <w:b/>
                <w:bCs/>
                <w:color w:val="5B3FA0"/>
                <w:sz w:val="20"/>
                <w:szCs w:val="20"/>
              </w:rPr>
              <w:t xml:space="preserve">Aus Arbeitnehmersicht</w:t>
            </w:r>
          </w:p>
          <w:p>
            <w:pPr>
              <w:pStyle w:val="ListParagraph"/>
              <w:numPr>
                <w:ilvl w:val="0"/>
                <w:numId w:val="2"/>
              </w:numPr>
              <w:spacing w:after="50" w:line="256"/>
            </w:pPr>
            <w:r>
              <w:rPr>
                <w:b/>
                <w:bCs/>
                <w:color w:val="15803D"/>
              </w:rPr>
              <w:t xml:space="preserve">+ </w:t>
            </w:r>
            <w:r>
              <w:t xml:space="preserve">sicheres, planbares Einkommen – auch bei Störungen oder Krankheit</w:t>
            </w:r>
          </w:p>
          <w:p>
            <w:pPr>
              <w:pStyle w:val="ListParagraph"/>
              <w:numPr>
                <w:ilvl w:val="0"/>
                <w:numId w:val="2"/>
              </w:numPr>
              <w:spacing w:after="50" w:line="256"/>
            </w:pPr>
            <w:r>
              <w:rPr>
                <w:b/>
                <w:bCs/>
                <w:color w:val="15803D"/>
              </w:rPr>
              <w:t xml:space="preserve">+ </w:t>
            </w:r>
            <w:r>
              <w:t xml:space="preserve">kein Zeitdruck, geringeres Gesundheitsrisiko</w:t>
            </w:r>
          </w:p>
          <w:p>
            <w:pPr>
              <w:pStyle w:val="ListParagraph"/>
              <w:numPr>
                <w:ilvl w:val="0"/>
                <w:numId w:val="2"/>
              </w:numPr>
              <w:spacing w:after="50" w:line="256"/>
            </w:pPr>
            <w:r>
              <w:rPr>
                <w:b/>
                <w:bCs/>
                <w:color w:val="B0341E"/>
              </w:rPr>
              <w:t xml:space="preserve">– </w:t>
            </w:r>
            <w:r>
              <w:t xml:space="preserve">Mehrleistung wird nicht zusätzlich belohnt</w:t>
            </w:r>
          </w:p>
          <w:p>
            <w:pPr>
              <w:pStyle w:val="ListParagraph"/>
              <w:numPr>
                <w:ilvl w:val="0"/>
                <w:numId w:val="2"/>
              </w:numPr>
              <w:spacing w:after="50" w:line="256"/>
            </w:pPr>
            <w:r>
              <w:rPr>
                <w:b/>
                <w:bCs/>
                <w:color w:val="B0341E"/>
              </w:rPr>
              <w:t xml:space="preserve">– </w:t>
            </w:r>
            <w:r>
              <w:t xml:space="preserve">wer sich anstrengt, verdient genauso viel wie ein Bummelant</w:t>
            </w:r>
          </w:p>
        </w:tc>
      </w:tr>
    </w:tbl>
    <w:p>
      <w:pPr>
        <w:spacing w:after="60"/>
      </w:pPr>
      <w:r>
        <w:t xml:space="preserve"/>
      </w:r>
    </w:p>
    <w:p>
      <w:pPr>
        <w:pStyle w:val="Heading3"/>
      </w:pPr>
      <w:r>
        <w:t xml:space="preserve">Akkordlohn</w:t>
      </w:r>
    </w:p>
    <w:p>
      <w:pPr>
        <w:spacing w:after="100" w:before="0" w:line="268"/>
      </w:pPr>
      <w:r>
        <w:rPr>
          <w:b/>
          <w:bCs/>
        </w:rPr>
        <w:t xml:space="preserve">Bezahlt wird die Menge. </w:t>
      </w:r>
      <w:r>
        <w:t xml:space="preserve">Je mehr Stück, desto mehr Lohn – der Leistungsanreiz ist direkt eingebaut.</w:t>
      </w:r>
    </w:p>
    <w:p>
      <w:pPr>
        <w:spacing w:after="80" w:before="60"/>
      </w:pPr>
      <w:r>
        <w:rPr>
          <w:b/>
          <w:bCs/>
          <w:caps/>
          <w:color w:val="1F4E79"/>
          <w:sz w:val="18"/>
          <w:szCs w:val="18"/>
        </w:rPr>
        <w:t xml:space="preserve">M8</w:t>
      </w:r>
      <w:r>
        <w:rPr>
          <w:b/>
          <w:bCs/>
          <w:color w:val="1F4E79"/>
          <w:sz w:val="18"/>
          <w:szCs w:val="18"/>
        </w:rPr>
        <w:t xml:space="preserve">  ·  Akkordlohn aus zwei Perspektiven</w:t>
      </w:r>
    </w:p>
    <w:tbl>
      <w:tblPr>
        <w:tblW w:type="dxa" w:w="9026"/>
        <w:tblBorders>
          <w:top w:val="none" w:color="FFFFFF" w:sz="0"/>
          <w:left w:val="none" w:color="FFFFFF" w:sz="0"/>
          <w:bottom w:val="none" w:color="FFFFFF" w:sz="0"/>
          <w:right w:val="none" w:color="FFFFFF" w:sz="0"/>
          <w:insideH w:val="single" w:color="auto" w:sz="4"/>
          <w:insideV w:val="none" w:color="FFFFFF" w:sz="0"/>
        </w:tblBorders>
      </w:tblPr>
      <w:tblGrid>
        <w:gridCol w:w="4453"/>
        <w:gridCol w:w="120"/>
        <w:gridCol w:w="4453"/>
      </w:tblGrid>
      <w:tr>
        <w:trPr>
          <w:cantSplit/>
        </w:trPr>
        <w:tc>
          <w:tcPr>
            <w:tcW w:type="dxa" w:w="4453"/>
            <w:tcBorders>
              <w:top w:val="single" w:color="1F4E79" w:sz="4"/>
              <w:left w:val="single" w:color="1F4E79" w:sz="18"/>
              <w:bottom w:val="single" w:color="1F4E79" w:sz="4"/>
              <w:right w:val="single" w:color="1F4E79" w:sz="4"/>
            </w:tcBorders>
            <w:shd w:fill="EAF1FB" w:val="clear"/>
            <w:tcMar>
              <w:top w:type="dxa" w:w="120"/>
              <w:left w:type="dxa" w:w="160"/>
              <w:bottom w:type="dxa" w:w="120"/>
              <w:right w:type="dxa" w:w="160"/>
            </w:tcMar>
          </w:tcPr>
          <w:p>
            <w:pPr>
              <w:spacing w:after="80"/>
            </w:pPr>
            <w:r>
              <w:rPr>
                <w:b/>
                <w:bCs/>
                <w:color w:val="1F4E79"/>
                <w:sz w:val="20"/>
                <w:szCs w:val="20"/>
              </w:rPr>
              <w:t xml:space="preserve">Aus Arbeitgebersicht</w:t>
            </w:r>
          </w:p>
          <w:p>
            <w:pPr>
              <w:pStyle w:val="ListParagraph"/>
              <w:numPr>
                <w:ilvl w:val="0"/>
                <w:numId w:val="2"/>
              </w:numPr>
              <w:spacing w:after="50" w:line="256"/>
            </w:pPr>
            <w:r>
              <w:rPr>
                <w:b/>
                <w:bCs/>
                <w:color w:val="15803D"/>
              </w:rPr>
              <w:t xml:space="preserve">+ </w:t>
            </w:r>
            <w:r>
              <w:t xml:space="preserve">hohe, planbare Produktivität; Lohnstückkosten kalkulierbar</w:t>
            </w:r>
          </w:p>
          <w:p>
            <w:pPr>
              <w:pStyle w:val="ListParagraph"/>
              <w:numPr>
                <w:ilvl w:val="0"/>
                <w:numId w:val="2"/>
              </w:numPr>
              <w:spacing w:after="50" w:line="256"/>
            </w:pPr>
            <w:r>
              <w:rPr>
                <w:b/>
                <w:bCs/>
                <w:color w:val="15803D"/>
              </w:rPr>
              <w:t xml:space="preserve">+ </w:t>
            </w:r>
            <w:r>
              <w:t xml:space="preserve">Leistungsanreiz „eingebaut“, wenig Aufsicht nötig</w:t>
            </w:r>
          </w:p>
          <w:p>
            <w:pPr>
              <w:pStyle w:val="ListParagraph"/>
              <w:numPr>
                <w:ilvl w:val="0"/>
                <w:numId w:val="2"/>
              </w:numPr>
              <w:spacing w:after="50" w:line="256"/>
            </w:pPr>
            <w:r>
              <w:rPr>
                <w:b/>
                <w:bCs/>
                <w:color w:val="B0341E"/>
              </w:rPr>
              <w:t xml:space="preserve">– </w:t>
            </w:r>
            <w:r>
              <w:t xml:space="preserve">Qualität und Sorgfalt können leiden; mehr Ausschuss</w:t>
            </w:r>
          </w:p>
          <w:p>
            <w:pPr>
              <w:pStyle w:val="ListParagraph"/>
              <w:numPr>
                <w:ilvl w:val="0"/>
                <w:numId w:val="2"/>
              </w:numPr>
              <w:spacing w:after="50" w:line="256"/>
            </w:pPr>
            <w:r>
              <w:rPr>
                <w:b/>
                <w:bCs/>
                <w:color w:val="B0341E"/>
              </w:rPr>
              <w:t xml:space="preserve">– </w:t>
            </w:r>
            <w:r>
              <w:t xml:space="preserve">Unfallgefahr und Materialverschleiß steigen; aufwendige Zeitvorgaben</w:t>
            </w:r>
          </w:p>
        </w:tc>
        <w:tc>
          <w:tcPr>
            <w:tcW w:type="dxa" w:w="120"/>
            <w:tcBorders>
              <w:top w:val="none" w:color="FFFFFF" w:sz="0"/>
              <w:left w:val="none" w:color="FFFFFF" w:sz="0"/>
              <w:bottom w:val="none" w:color="FFFFFF" w:sz="0"/>
              <w:right w:val="none" w:color="FFFFFF" w:sz="0"/>
            </w:tcBorders>
          </w:tcPr>
          <w:p/>
        </w:tc>
        <w:tc>
          <w:tcPr>
            <w:tcW w:type="dxa" w:w="4453"/>
            <w:tcBorders>
              <w:top w:val="single" w:color="5B3FA0" w:sz="4"/>
              <w:left w:val="single" w:color="5B3FA0" w:sz="18"/>
              <w:bottom w:val="single" w:color="5B3FA0" w:sz="4"/>
              <w:right w:val="single" w:color="5B3FA0" w:sz="4"/>
            </w:tcBorders>
            <w:shd w:fill="EDE9F6" w:val="clear"/>
            <w:tcMar>
              <w:top w:type="dxa" w:w="120"/>
              <w:left w:type="dxa" w:w="160"/>
              <w:bottom w:type="dxa" w:w="120"/>
              <w:right w:type="dxa" w:w="160"/>
            </w:tcMar>
          </w:tcPr>
          <w:p>
            <w:pPr>
              <w:spacing w:after="80"/>
            </w:pPr>
            <w:r>
              <w:rPr>
                <w:b/>
                <w:bCs/>
                <w:color w:val="5B3FA0"/>
                <w:sz w:val="20"/>
                <w:szCs w:val="20"/>
              </w:rPr>
              <w:t xml:space="preserve">Aus Arbeitnehmersicht</w:t>
            </w:r>
          </w:p>
          <w:p>
            <w:pPr>
              <w:pStyle w:val="ListParagraph"/>
              <w:numPr>
                <w:ilvl w:val="0"/>
                <w:numId w:val="2"/>
              </w:numPr>
              <w:spacing w:after="50" w:line="256"/>
            </w:pPr>
            <w:r>
              <w:rPr>
                <w:b/>
                <w:bCs/>
                <w:color w:val="15803D"/>
              </w:rPr>
              <w:t xml:space="preserve">+ </w:t>
            </w:r>
            <w:r>
              <w:t xml:space="preserve">wer schnell arbeitet, verdient mehr – Leistung lohnt sich</w:t>
            </w:r>
          </w:p>
          <w:p>
            <w:pPr>
              <w:pStyle w:val="ListParagraph"/>
              <w:numPr>
                <w:ilvl w:val="0"/>
                <w:numId w:val="2"/>
              </w:numPr>
              <w:spacing w:after="50" w:line="256"/>
            </w:pPr>
            <w:r>
              <w:rPr>
                <w:b/>
                <w:bCs/>
                <w:color w:val="15803D"/>
              </w:rPr>
              <w:t xml:space="preserve">+ </w:t>
            </w:r>
            <w:r>
              <w:t xml:space="preserve">eigenes Tempo, ein Stück Selbstbestimmung</w:t>
            </w:r>
          </w:p>
          <w:p>
            <w:pPr>
              <w:pStyle w:val="ListParagraph"/>
              <w:numPr>
                <w:ilvl w:val="0"/>
                <w:numId w:val="2"/>
              </w:numPr>
              <w:spacing w:after="50" w:line="256"/>
            </w:pPr>
            <w:r>
              <w:rPr>
                <w:b/>
                <w:bCs/>
                <w:color w:val="B0341E"/>
              </w:rPr>
              <w:t xml:space="preserve">– </w:t>
            </w:r>
            <w:r>
              <w:t xml:space="preserve">Einkommen schwankt; bei Krankheit oder Störungen droht Lohnverlust</w:t>
            </w:r>
          </w:p>
          <w:p>
            <w:pPr>
              <w:pStyle w:val="ListParagraph"/>
              <w:numPr>
                <w:ilvl w:val="0"/>
                <w:numId w:val="2"/>
              </w:numPr>
              <w:spacing w:after="50" w:line="256"/>
            </w:pPr>
            <w:r>
              <w:rPr>
                <w:b/>
                <w:bCs/>
                <w:color w:val="B0341E"/>
              </w:rPr>
              <w:t xml:space="preserve">– </w:t>
            </w:r>
            <w:r>
              <w:t xml:space="preserve">Stress, Hetze, Gesundheitsrisiko; ältere oder langsamere Beschäftigte im Nachteil</w:t>
            </w:r>
          </w:p>
        </w:tc>
      </w:tr>
    </w:tbl>
    <w:p>
      <w:pPr>
        <w:spacing w:after="60"/>
      </w:pPr>
      <w:r>
        <w:t xml:space="preserve"/>
      </w:r>
    </w:p>
    <w:p>
      <w:pPr>
        <w:pStyle w:val="Heading3"/>
      </w:pPr>
      <w:r>
        <w:t xml:space="preserve">Prämienlohn</w:t>
      </w:r>
    </w:p>
    <w:p>
      <w:pPr>
        <w:spacing w:after="100" w:before="0" w:line="268"/>
      </w:pPr>
      <w:r>
        <w:rPr>
          <w:b/>
          <w:bCs/>
        </w:rPr>
        <w:t xml:space="preserve">Grundlohn plus Zuschlag. </w:t>
      </w:r>
      <w:r>
        <w:t xml:space="preserve">Auf einen sicheren Grundbetrag kommt eine Prämie für besondere Leistung – Menge, Qualität, Termintreue oder Materialersparnis. Der Versuch, das Beste aus Zeit- und Akkordlohn zu verbinden.</w:t>
      </w:r>
    </w:p>
    <w:p>
      <w:pPr>
        <w:spacing w:after="80" w:before="60"/>
      </w:pPr>
      <w:r>
        <w:rPr>
          <w:b/>
          <w:bCs/>
          <w:caps/>
          <w:color w:val="1F4E79"/>
          <w:sz w:val="18"/>
          <w:szCs w:val="18"/>
        </w:rPr>
        <w:t xml:space="preserve">M9</w:t>
      </w:r>
      <w:r>
        <w:rPr>
          <w:b/>
          <w:bCs/>
          <w:color w:val="1F4E79"/>
          <w:sz w:val="18"/>
          <w:szCs w:val="18"/>
        </w:rPr>
        <w:t xml:space="preserve">  ·  Prämienlohn aus zwei Perspektiven</w:t>
      </w:r>
    </w:p>
    <w:tbl>
      <w:tblPr>
        <w:tblW w:type="dxa" w:w="9026"/>
        <w:tblBorders>
          <w:top w:val="none" w:color="FFFFFF" w:sz="0"/>
          <w:left w:val="none" w:color="FFFFFF" w:sz="0"/>
          <w:bottom w:val="none" w:color="FFFFFF" w:sz="0"/>
          <w:right w:val="none" w:color="FFFFFF" w:sz="0"/>
          <w:insideH w:val="single" w:color="auto" w:sz="4"/>
          <w:insideV w:val="none" w:color="FFFFFF" w:sz="0"/>
        </w:tblBorders>
      </w:tblPr>
      <w:tblGrid>
        <w:gridCol w:w="4453"/>
        <w:gridCol w:w="120"/>
        <w:gridCol w:w="4453"/>
      </w:tblGrid>
      <w:tr>
        <w:trPr>
          <w:cantSplit/>
        </w:trPr>
        <w:tc>
          <w:tcPr>
            <w:tcW w:type="dxa" w:w="4453"/>
            <w:tcBorders>
              <w:top w:val="single" w:color="1F4E79" w:sz="4"/>
              <w:left w:val="single" w:color="1F4E79" w:sz="18"/>
              <w:bottom w:val="single" w:color="1F4E79" w:sz="4"/>
              <w:right w:val="single" w:color="1F4E79" w:sz="4"/>
            </w:tcBorders>
            <w:shd w:fill="EAF1FB" w:val="clear"/>
            <w:tcMar>
              <w:top w:type="dxa" w:w="120"/>
              <w:left w:type="dxa" w:w="160"/>
              <w:bottom w:type="dxa" w:w="120"/>
              <w:right w:type="dxa" w:w="160"/>
            </w:tcMar>
          </w:tcPr>
          <w:p>
            <w:pPr>
              <w:spacing w:after="80"/>
            </w:pPr>
            <w:r>
              <w:rPr>
                <w:b/>
                <w:bCs/>
                <w:color w:val="1F4E79"/>
                <w:sz w:val="20"/>
                <w:szCs w:val="20"/>
              </w:rPr>
              <w:t xml:space="preserve">Aus Arbeitgebersicht</w:t>
            </w:r>
          </w:p>
          <w:p>
            <w:pPr>
              <w:pStyle w:val="ListParagraph"/>
              <w:numPr>
                <w:ilvl w:val="0"/>
                <w:numId w:val="2"/>
              </w:numPr>
              <w:spacing w:after="50" w:line="256"/>
            </w:pPr>
            <w:r>
              <w:rPr>
                <w:b/>
                <w:bCs/>
                <w:color w:val="15803D"/>
              </w:rPr>
              <w:t xml:space="preserve">+ </w:t>
            </w:r>
            <w:r>
              <w:t xml:space="preserve">steuert gezielt mehrere Ziele zugleich (z. B. Menge UND Qualität)</w:t>
            </w:r>
          </w:p>
          <w:p>
            <w:pPr>
              <w:pStyle w:val="ListParagraph"/>
              <w:numPr>
                <w:ilvl w:val="0"/>
                <w:numId w:val="2"/>
              </w:numPr>
              <w:spacing w:after="50" w:line="256"/>
            </w:pPr>
            <w:r>
              <w:rPr>
                <w:b/>
                <w:bCs/>
                <w:color w:val="15803D"/>
              </w:rPr>
              <w:t xml:space="preserve">+ </w:t>
            </w:r>
            <w:r>
              <w:t xml:space="preserve">Leistungsanreiz ohne die Qualitätsrisiken des reinen Akkords</w:t>
            </w:r>
          </w:p>
          <w:p>
            <w:pPr>
              <w:pStyle w:val="ListParagraph"/>
              <w:numPr>
                <w:ilvl w:val="0"/>
                <w:numId w:val="2"/>
              </w:numPr>
              <w:spacing w:after="50" w:line="256"/>
            </w:pPr>
            <w:r>
              <w:rPr>
                <w:b/>
                <w:bCs/>
                <w:color w:val="B0341E"/>
              </w:rPr>
              <w:t xml:space="preserve">– </w:t>
            </w:r>
            <w:r>
              <w:t xml:space="preserve">faire, messbare Prämienkennzahlen festzulegen ist aufwendig</w:t>
            </w:r>
          </w:p>
          <w:p>
            <w:pPr>
              <w:pStyle w:val="ListParagraph"/>
              <w:numPr>
                <w:ilvl w:val="0"/>
                <w:numId w:val="2"/>
              </w:numPr>
              <w:spacing w:after="50" w:line="256"/>
            </w:pPr>
            <w:r>
              <w:rPr>
                <w:b/>
                <w:bCs/>
                <w:color w:val="B0341E"/>
              </w:rPr>
              <w:t xml:space="preserve">– </w:t>
            </w:r>
            <w:r>
              <w:t xml:space="preserve">schlecht gesetzte Ziele lenken Verhalten in die falsche Richtung</w:t>
            </w:r>
          </w:p>
        </w:tc>
        <w:tc>
          <w:tcPr>
            <w:tcW w:type="dxa" w:w="120"/>
            <w:tcBorders>
              <w:top w:val="none" w:color="FFFFFF" w:sz="0"/>
              <w:left w:val="none" w:color="FFFFFF" w:sz="0"/>
              <w:bottom w:val="none" w:color="FFFFFF" w:sz="0"/>
              <w:right w:val="none" w:color="FFFFFF" w:sz="0"/>
            </w:tcBorders>
          </w:tcPr>
          <w:p/>
        </w:tc>
        <w:tc>
          <w:tcPr>
            <w:tcW w:type="dxa" w:w="4453"/>
            <w:tcBorders>
              <w:top w:val="single" w:color="5B3FA0" w:sz="4"/>
              <w:left w:val="single" w:color="5B3FA0" w:sz="18"/>
              <w:bottom w:val="single" w:color="5B3FA0" w:sz="4"/>
              <w:right w:val="single" w:color="5B3FA0" w:sz="4"/>
            </w:tcBorders>
            <w:shd w:fill="EDE9F6" w:val="clear"/>
            <w:tcMar>
              <w:top w:type="dxa" w:w="120"/>
              <w:left w:type="dxa" w:w="160"/>
              <w:bottom w:type="dxa" w:w="120"/>
              <w:right w:type="dxa" w:w="160"/>
            </w:tcMar>
          </w:tcPr>
          <w:p>
            <w:pPr>
              <w:spacing w:after="80"/>
            </w:pPr>
            <w:r>
              <w:rPr>
                <w:b/>
                <w:bCs/>
                <w:color w:val="5B3FA0"/>
                <w:sz w:val="20"/>
                <w:szCs w:val="20"/>
              </w:rPr>
              <w:t xml:space="preserve">Aus Arbeitnehmersicht</w:t>
            </w:r>
          </w:p>
          <w:p>
            <w:pPr>
              <w:pStyle w:val="ListParagraph"/>
              <w:numPr>
                <w:ilvl w:val="0"/>
                <w:numId w:val="2"/>
              </w:numPr>
              <w:spacing w:after="50" w:line="256"/>
            </w:pPr>
            <w:r>
              <w:rPr>
                <w:b/>
                <w:bCs/>
                <w:color w:val="15803D"/>
              </w:rPr>
              <w:t xml:space="preserve">+ </w:t>
            </w:r>
            <w:r>
              <w:t xml:space="preserve">sicherer Grundlohn plus echte Chance auf mehr</w:t>
            </w:r>
          </w:p>
          <w:p>
            <w:pPr>
              <w:pStyle w:val="ListParagraph"/>
              <w:numPr>
                <w:ilvl w:val="0"/>
                <w:numId w:val="2"/>
              </w:numPr>
              <w:spacing w:after="50" w:line="256"/>
            </w:pPr>
            <w:r>
              <w:rPr>
                <w:b/>
                <w:bCs/>
                <w:color w:val="15803D"/>
              </w:rPr>
              <w:t xml:space="preserve">+ </w:t>
            </w:r>
            <w:r>
              <w:t xml:space="preserve">Leistung wird anerkannt, ohne reine Hetze um Stückzahlen</w:t>
            </w:r>
          </w:p>
          <w:p>
            <w:pPr>
              <w:pStyle w:val="ListParagraph"/>
              <w:numPr>
                <w:ilvl w:val="0"/>
                <w:numId w:val="2"/>
              </w:numPr>
              <w:spacing w:after="50" w:line="256"/>
            </w:pPr>
            <w:r>
              <w:rPr>
                <w:b/>
                <w:bCs/>
                <w:color w:val="B0341E"/>
              </w:rPr>
              <w:t xml:space="preserve">– </w:t>
            </w:r>
            <w:r>
              <w:t xml:space="preserve">Prämienziele sind teils schwer erreichbar oder kaum beeinflussbar</w:t>
            </w:r>
          </w:p>
          <w:p>
            <w:pPr>
              <w:pStyle w:val="ListParagraph"/>
              <w:numPr>
                <w:ilvl w:val="0"/>
                <w:numId w:val="2"/>
              </w:numPr>
              <w:spacing w:after="50" w:line="256"/>
            </w:pPr>
            <w:r>
              <w:rPr>
                <w:b/>
                <w:bCs/>
                <w:color w:val="B0341E"/>
              </w:rPr>
              <w:t xml:space="preserve">– </w:t>
            </w:r>
            <w:r>
              <w:t xml:space="preserve">undurchsichtige Kennzahlen können als ungerecht empfunden werden</w:t>
            </w:r>
          </w:p>
        </w:tc>
      </w:tr>
    </w:tbl>
    <w:p>
      <w:pPr>
        <w:spacing w:after="60"/>
      </w:pPr>
      <w:r>
        <w:t xml:space="preserve"/>
      </w:r>
    </w:p>
    <w:p>
      <w:pPr>
        <w:pStyle w:val="Heading3"/>
      </w:pPr>
      <w:r>
        <w:t xml:space="preserve">Gehalt (Festgehalt)</w:t>
      </w:r>
    </w:p>
    <w:p>
      <w:pPr>
        <w:spacing w:after="100" w:before="0" w:line="268"/>
      </w:pPr>
      <w:r>
        <w:rPr>
          <w:b/>
          <w:bCs/>
        </w:rPr>
        <w:t xml:space="preserve">Fester Monatsbetrag. </w:t>
      </w:r>
      <w:r>
        <w:t xml:space="preserve">Unabhängig von Stunden oder Stückzahl – typisch für Angestellte, Führung und qualifizierte Tätigkeiten, deren Ergebnis sich nicht in Stück messen lässt.</w:t>
      </w:r>
    </w:p>
    <w:p>
      <w:pPr>
        <w:spacing w:after="80" w:before="60"/>
      </w:pPr>
      <w:r>
        <w:rPr>
          <w:b/>
          <w:bCs/>
          <w:caps/>
          <w:color w:val="1F4E79"/>
          <w:sz w:val="18"/>
          <w:szCs w:val="18"/>
        </w:rPr>
        <w:t xml:space="preserve">M10</w:t>
      </w:r>
      <w:r>
        <w:rPr>
          <w:b/>
          <w:bCs/>
          <w:color w:val="1F4E79"/>
          <w:sz w:val="18"/>
          <w:szCs w:val="18"/>
        </w:rPr>
        <w:t xml:space="preserve">  ·  Gehalt aus zwei Perspektiven</w:t>
      </w:r>
    </w:p>
    <w:tbl>
      <w:tblPr>
        <w:tblW w:type="dxa" w:w="9026"/>
        <w:tblBorders>
          <w:top w:val="none" w:color="FFFFFF" w:sz="0"/>
          <w:left w:val="none" w:color="FFFFFF" w:sz="0"/>
          <w:bottom w:val="none" w:color="FFFFFF" w:sz="0"/>
          <w:right w:val="none" w:color="FFFFFF" w:sz="0"/>
          <w:insideH w:val="single" w:color="auto" w:sz="4"/>
          <w:insideV w:val="none" w:color="FFFFFF" w:sz="0"/>
        </w:tblBorders>
      </w:tblPr>
      <w:tblGrid>
        <w:gridCol w:w="4453"/>
        <w:gridCol w:w="120"/>
        <w:gridCol w:w="4453"/>
      </w:tblGrid>
      <w:tr>
        <w:trPr>
          <w:cantSplit/>
        </w:trPr>
        <w:tc>
          <w:tcPr>
            <w:tcW w:type="dxa" w:w="4453"/>
            <w:tcBorders>
              <w:top w:val="single" w:color="1F4E79" w:sz="4"/>
              <w:left w:val="single" w:color="1F4E79" w:sz="18"/>
              <w:bottom w:val="single" w:color="1F4E79" w:sz="4"/>
              <w:right w:val="single" w:color="1F4E79" w:sz="4"/>
            </w:tcBorders>
            <w:shd w:fill="EAF1FB" w:val="clear"/>
            <w:tcMar>
              <w:top w:type="dxa" w:w="120"/>
              <w:left w:type="dxa" w:w="160"/>
              <w:bottom w:type="dxa" w:w="120"/>
              <w:right w:type="dxa" w:w="160"/>
            </w:tcMar>
          </w:tcPr>
          <w:p>
            <w:pPr>
              <w:spacing w:after="80"/>
            </w:pPr>
            <w:r>
              <w:rPr>
                <w:b/>
                <w:bCs/>
                <w:color w:val="1F4E79"/>
                <w:sz w:val="20"/>
                <w:szCs w:val="20"/>
              </w:rPr>
              <w:t xml:space="preserve">Aus Arbeitgebersicht</w:t>
            </w:r>
          </w:p>
          <w:p>
            <w:pPr>
              <w:pStyle w:val="ListParagraph"/>
              <w:numPr>
                <w:ilvl w:val="0"/>
                <w:numId w:val="2"/>
              </w:numPr>
              <w:spacing w:after="50" w:line="256"/>
            </w:pPr>
            <w:r>
              <w:rPr>
                <w:b/>
                <w:bCs/>
                <w:color w:val="15803D"/>
              </w:rPr>
              <w:t xml:space="preserve">+ </w:t>
            </w:r>
            <w:r>
              <w:t xml:space="preserve">voll planbare Personalkosten; geringer Abrechnungsaufwand</w:t>
            </w:r>
          </w:p>
          <w:p>
            <w:pPr>
              <w:pStyle w:val="ListParagraph"/>
              <w:numPr>
                <w:ilvl w:val="0"/>
                <w:numId w:val="2"/>
              </w:numPr>
              <w:spacing w:after="50" w:line="256"/>
            </w:pPr>
            <w:r>
              <w:rPr>
                <w:b/>
                <w:bCs/>
                <w:color w:val="15803D"/>
              </w:rPr>
              <w:t xml:space="preserve">+ </w:t>
            </w:r>
            <w:r>
              <w:t xml:space="preserve">fördert Bindung, Loyalität und längerfristiges Denken</w:t>
            </w:r>
          </w:p>
          <w:p>
            <w:pPr>
              <w:pStyle w:val="ListParagraph"/>
              <w:numPr>
                <w:ilvl w:val="0"/>
                <w:numId w:val="2"/>
              </w:numPr>
              <w:spacing w:after="50" w:line="256"/>
            </w:pPr>
            <w:r>
              <w:rPr>
                <w:b/>
                <w:bCs/>
                <w:color w:val="B0341E"/>
              </w:rPr>
              <w:t xml:space="preserve">– </w:t>
            </w:r>
            <w:r>
              <w:t xml:space="preserve">kein unmittelbarer Leistungsanreiz über die Bezahlung</w:t>
            </w:r>
          </w:p>
          <w:p>
            <w:pPr>
              <w:pStyle w:val="ListParagraph"/>
              <w:numPr>
                <w:ilvl w:val="0"/>
                <w:numId w:val="2"/>
              </w:numPr>
              <w:spacing w:after="50" w:line="256"/>
            </w:pPr>
            <w:r>
              <w:rPr>
                <w:b/>
                <w:bCs/>
                <w:color w:val="B0341E"/>
              </w:rPr>
              <w:t xml:space="preserve">– </w:t>
            </w:r>
            <w:r>
              <w:t xml:space="preserve">Minderleistung schlägt nicht automatisch auf die Kosten durch</w:t>
            </w:r>
          </w:p>
        </w:tc>
        <w:tc>
          <w:tcPr>
            <w:tcW w:type="dxa" w:w="120"/>
            <w:tcBorders>
              <w:top w:val="none" w:color="FFFFFF" w:sz="0"/>
              <w:left w:val="none" w:color="FFFFFF" w:sz="0"/>
              <w:bottom w:val="none" w:color="FFFFFF" w:sz="0"/>
              <w:right w:val="none" w:color="FFFFFF" w:sz="0"/>
            </w:tcBorders>
          </w:tcPr>
          <w:p/>
        </w:tc>
        <w:tc>
          <w:tcPr>
            <w:tcW w:type="dxa" w:w="4453"/>
            <w:tcBorders>
              <w:top w:val="single" w:color="5B3FA0" w:sz="4"/>
              <w:left w:val="single" w:color="5B3FA0" w:sz="18"/>
              <w:bottom w:val="single" w:color="5B3FA0" w:sz="4"/>
              <w:right w:val="single" w:color="5B3FA0" w:sz="4"/>
            </w:tcBorders>
            <w:shd w:fill="EDE9F6" w:val="clear"/>
            <w:tcMar>
              <w:top w:type="dxa" w:w="120"/>
              <w:left w:type="dxa" w:w="160"/>
              <w:bottom w:type="dxa" w:w="120"/>
              <w:right w:type="dxa" w:w="160"/>
            </w:tcMar>
          </w:tcPr>
          <w:p>
            <w:pPr>
              <w:spacing w:after="80"/>
            </w:pPr>
            <w:r>
              <w:rPr>
                <w:b/>
                <w:bCs/>
                <w:color w:val="5B3FA0"/>
                <w:sz w:val="20"/>
                <w:szCs w:val="20"/>
              </w:rPr>
              <w:t xml:space="preserve">Aus Arbeitnehmersicht</w:t>
            </w:r>
          </w:p>
          <w:p>
            <w:pPr>
              <w:pStyle w:val="ListParagraph"/>
              <w:numPr>
                <w:ilvl w:val="0"/>
                <w:numId w:val="2"/>
              </w:numPr>
              <w:spacing w:after="50" w:line="256"/>
            </w:pPr>
            <w:r>
              <w:rPr>
                <w:b/>
                <w:bCs/>
                <w:color w:val="15803D"/>
              </w:rPr>
              <w:t xml:space="preserve">+ </w:t>
            </w:r>
            <w:r>
              <w:t xml:space="preserve">höchste Einkommenssicherheit, gut planbares Privatleben</w:t>
            </w:r>
          </w:p>
          <w:p>
            <w:pPr>
              <w:pStyle w:val="ListParagraph"/>
              <w:numPr>
                <w:ilvl w:val="0"/>
                <w:numId w:val="2"/>
              </w:numPr>
              <w:spacing w:after="50" w:line="256"/>
            </w:pPr>
            <w:r>
              <w:rPr>
                <w:b/>
                <w:bCs/>
                <w:color w:val="15803D"/>
              </w:rPr>
              <w:t xml:space="preserve">+ </w:t>
            </w:r>
            <w:r>
              <w:t xml:space="preserve">Status, Vertrauen, Freiräume statt ständiger Messung</w:t>
            </w:r>
          </w:p>
          <w:p>
            <w:pPr>
              <w:pStyle w:val="ListParagraph"/>
              <w:numPr>
                <w:ilvl w:val="0"/>
                <w:numId w:val="2"/>
              </w:numPr>
              <w:spacing w:after="50" w:line="256"/>
            </w:pPr>
            <w:r>
              <w:rPr>
                <w:b/>
                <w:bCs/>
                <w:color w:val="B0341E"/>
              </w:rPr>
              <w:t xml:space="preserve">– </w:t>
            </w:r>
            <w:r>
              <w:t xml:space="preserve">Mehrarbeit (Überstunden) ist oft mit abgegolten</w:t>
            </w:r>
          </w:p>
          <w:p>
            <w:pPr>
              <w:pStyle w:val="ListParagraph"/>
              <w:numPr>
                <w:ilvl w:val="0"/>
                <w:numId w:val="2"/>
              </w:numPr>
              <w:spacing w:after="50" w:line="256"/>
            </w:pPr>
            <w:r>
              <w:rPr>
                <w:b/>
                <w:bCs/>
                <w:color w:val="B0341E"/>
              </w:rPr>
              <w:t xml:space="preserve">– </w:t>
            </w:r>
            <w:r>
              <w:t xml:space="preserve">herausragende Leistung wird nicht direkt vergütet</w:t>
            </w:r>
          </w:p>
        </w:tc>
      </w:tr>
    </w:tbl>
    <w:p>
      <w:pPr>
        <w:spacing w:after="60"/>
      </w:pPr>
      <w:r>
        <w:t xml:space="preserve"/>
      </w:r>
    </w:p>
    <w:p>
      <w:pPr>
        <w:pStyle w:val="Heading3"/>
      </w:pPr>
      <w:r>
        <w:t xml:space="preserve">Erfolgs- und Gewinnbeteiligung</w:t>
      </w:r>
    </w:p>
    <w:p>
      <w:pPr>
        <w:spacing w:after="100" w:before="0" w:line="268"/>
      </w:pPr>
      <w:r>
        <w:rPr>
          <w:b/>
          <w:bCs/>
        </w:rPr>
        <w:t xml:space="preserve">Anteil am Unternehmenserfolg. </w:t>
      </w:r>
      <w:r>
        <w:t xml:space="preserve">Zusätzlich zum Lohn erhalten Beschäftigte einen Bonus, eine Prämie oder Anteile – abhängig vom Gewinn oder Erfolg des Unternehmens.</w:t>
      </w:r>
    </w:p>
    <w:p>
      <w:pPr>
        <w:spacing w:after="80" w:before="60"/>
      </w:pPr>
      <w:r>
        <w:rPr>
          <w:b/>
          <w:bCs/>
          <w:caps/>
          <w:color w:val="1F4E79"/>
          <w:sz w:val="18"/>
          <w:szCs w:val="18"/>
        </w:rPr>
        <w:t xml:space="preserve">M11</w:t>
      </w:r>
      <w:r>
        <w:rPr>
          <w:b/>
          <w:bCs/>
          <w:color w:val="1F4E79"/>
          <w:sz w:val="18"/>
          <w:szCs w:val="18"/>
        </w:rPr>
        <w:t xml:space="preserve">  ·  Erfolgsbeteiligung aus zwei Perspektiven</w:t>
      </w:r>
    </w:p>
    <w:tbl>
      <w:tblPr>
        <w:tblW w:type="dxa" w:w="9026"/>
        <w:tblBorders>
          <w:top w:val="none" w:color="FFFFFF" w:sz="0"/>
          <w:left w:val="none" w:color="FFFFFF" w:sz="0"/>
          <w:bottom w:val="none" w:color="FFFFFF" w:sz="0"/>
          <w:right w:val="none" w:color="FFFFFF" w:sz="0"/>
          <w:insideH w:val="single" w:color="auto" w:sz="4"/>
          <w:insideV w:val="none" w:color="FFFFFF" w:sz="0"/>
        </w:tblBorders>
      </w:tblPr>
      <w:tblGrid>
        <w:gridCol w:w="4453"/>
        <w:gridCol w:w="120"/>
        <w:gridCol w:w="4453"/>
      </w:tblGrid>
      <w:tr>
        <w:trPr>
          <w:cantSplit/>
        </w:trPr>
        <w:tc>
          <w:tcPr>
            <w:tcW w:type="dxa" w:w="4453"/>
            <w:tcBorders>
              <w:top w:val="single" w:color="1F4E79" w:sz="4"/>
              <w:left w:val="single" w:color="1F4E79" w:sz="18"/>
              <w:bottom w:val="single" w:color="1F4E79" w:sz="4"/>
              <w:right w:val="single" w:color="1F4E79" w:sz="4"/>
            </w:tcBorders>
            <w:shd w:fill="EAF1FB" w:val="clear"/>
            <w:tcMar>
              <w:top w:type="dxa" w:w="120"/>
              <w:left w:type="dxa" w:w="160"/>
              <w:bottom w:type="dxa" w:w="120"/>
              <w:right w:type="dxa" w:w="160"/>
            </w:tcMar>
          </w:tcPr>
          <w:p>
            <w:pPr>
              <w:spacing w:after="80"/>
            </w:pPr>
            <w:r>
              <w:rPr>
                <w:b/>
                <w:bCs/>
                <w:color w:val="1F4E79"/>
                <w:sz w:val="20"/>
                <w:szCs w:val="20"/>
              </w:rPr>
              <w:t xml:space="preserve">Aus Arbeitgebersicht</w:t>
            </w:r>
          </w:p>
          <w:p>
            <w:pPr>
              <w:pStyle w:val="ListParagraph"/>
              <w:numPr>
                <w:ilvl w:val="0"/>
                <w:numId w:val="2"/>
              </w:numPr>
              <w:spacing w:after="50" w:line="256"/>
            </w:pPr>
            <w:r>
              <w:rPr>
                <w:b/>
                <w:bCs/>
                <w:color w:val="15803D"/>
              </w:rPr>
              <w:t xml:space="preserve">+ </w:t>
            </w:r>
            <w:r>
              <w:t xml:space="preserve">bindet Fachkräfte und fördert unternehmerisches Mitdenken</w:t>
            </w:r>
          </w:p>
          <w:p>
            <w:pPr>
              <w:pStyle w:val="ListParagraph"/>
              <w:numPr>
                <w:ilvl w:val="0"/>
                <w:numId w:val="2"/>
              </w:numPr>
              <w:spacing w:after="50" w:line="256"/>
            </w:pPr>
            <w:r>
              <w:rPr>
                <w:b/>
                <w:bCs/>
                <w:color w:val="15803D"/>
              </w:rPr>
              <w:t xml:space="preserve">+ </w:t>
            </w:r>
            <w:r>
              <w:t xml:space="preserve">Personalkosten atmen mit der Ertragslage – in Krisen geringer</w:t>
            </w:r>
          </w:p>
          <w:p>
            <w:pPr>
              <w:pStyle w:val="ListParagraph"/>
              <w:numPr>
                <w:ilvl w:val="0"/>
                <w:numId w:val="2"/>
              </w:numPr>
              <w:spacing w:after="50" w:line="256"/>
            </w:pPr>
            <w:r>
              <w:rPr>
                <w:b/>
                <w:bCs/>
                <w:color w:val="B0341E"/>
              </w:rPr>
              <w:t xml:space="preserve">– </w:t>
            </w:r>
            <w:r>
              <w:t xml:space="preserve">schmälert den ausgeschütteten Gewinn; Erwartung wächst</w:t>
            </w:r>
          </w:p>
          <w:p>
            <w:pPr>
              <w:pStyle w:val="ListParagraph"/>
              <w:numPr>
                <w:ilvl w:val="0"/>
                <w:numId w:val="2"/>
              </w:numPr>
              <w:spacing w:after="50" w:line="256"/>
            </w:pPr>
            <w:r>
              <w:rPr>
                <w:b/>
                <w:bCs/>
                <w:color w:val="B0341E"/>
              </w:rPr>
              <w:t xml:space="preserve">– </w:t>
            </w:r>
            <w:r>
              <w:t xml:space="preserve">Anreiz verpufft, wenn der Einzelne den Erfolg kaum beeinflusst</w:t>
            </w:r>
          </w:p>
        </w:tc>
        <w:tc>
          <w:tcPr>
            <w:tcW w:type="dxa" w:w="120"/>
            <w:tcBorders>
              <w:top w:val="none" w:color="FFFFFF" w:sz="0"/>
              <w:left w:val="none" w:color="FFFFFF" w:sz="0"/>
              <w:bottom w:val="none" w:color="FFFFFF" w:sz="0"/>
              <w:right w:val="none" w:color="FFFFFF" w:sz="0"/>
            </w:tcBorders>
          </w:tcPr>
          <w:p/>
        </w:tc>
        <w:tc>
          <w:tcPr>
            <w:tcW w:type="dxa" w:w="4453"/>
            <w:tcBorders>
              <w:top w:val="single" w:color="5B3FA0" w:sz="4"/>
              <w:left w:val="single" w:color="5B3FA0" w:sz="18"/>
              <w:bottom w:val="single" w:color="5B3FA0" w:sz="4"/>
              <w:right w:val="single" w:color="5B3FA0" w:sz="4"/>
            </w:tcBorders>
            <w:shd w:fill="EDE9F6" w:val="clear"/>
            <w:tcMar>
              <w:top w:type="dxa" w:w="120"/>
              <w:left w:type="dxa" w:w="160"/>
              <w:bottom w:type="dxa" w:w="120"/>
              <w:right w:type="dxa" w:w="160"/>
            </w:tcMar>
          </w:tcPr>
          <w:p>
            <w:pPr>
              <w:spacing w:after="80"/>
            </w:pPr>
            <w:r>
              <w:rPr>
                <w:b/>
                <w:bCs/>
                <w:color w:val="5B3FA0"/>
                <w:sz w:val="20"/>
                <w:szCs w:val="20"/>
              </w:rPr>
              <w:t xml:space="preserve">Aus Arbeitnehmersicht</w:t>
            </w:r>
          </w:p>
          <w:p>
            <w:pPr>
              <w:pStyle w:val="ListParagraph"/>
              <w:numPr>
                <w:ilvl w:val="0"/>
                <w:numId w:val="2"/>
              </w:numPr>
              <w:spacing w:after="50" w:line="256"/>
            </w:pPr>
            <w:r>
              <w:rPr>
                <w:b/>
                <w:bCs/>
                <w:color w:val="15803D"/>
              </w:rPr>
              <w:t xml:space="preserve">+ </w:t>
            </w:r>
            <w:r>
              <w:t xml:space="preserve">Teilhabe am Erfolg, den man miterarbeitet hat</w:t>
            </w:r>
          </w:p>
          <w:p>
            <w:pPr>
              <w:pStyle w:val="ListParagraph"/>
              <w:numPr>
                <w:ilvl w:val="0"/>
                <w:numId w:val="2"/>
              </w:numPr>
              <w:spacing w:after="50" w:line="256"/>
            </w:pPr>
            <w:r>
              <w:rPr>
                <w:b/>
                <w:bCs/>
                <w:color w:val="15803D"/>
              </w:rPr>
              <w:t xml:space="preserve">+ </w:t>
            </w:r>
            <w:r>
              <w:t xml:space="preserve">stärkt Identifikation und Gefühl von Wertschätzung</w:t>
            </w:r>
          </w:p>
          <w:p>
            <w:pPr>
              <w:pStyle w:val="ListParagraph"/>
              <w:numPr>
                <w:ilvl w:val="0"/>
                <w:numId w:val="2"/>
              </w:numPr>
              <w:spacing w:after="50" w:line="256"/>
            </w:pPr>
            <w:r>
              <w:rPr>
                <w:b/>
                <w:bCs/>
                <w:color w:val="B0341E"/>
              </w:rPr>
              <w:t xml:space="preserve">– </w:t>
            </w:r>
            <w:r>
              <w:t xml:space="preserve">hängt an Faktoren (Konjunktur, Führung), die man kaum steuert</w:t>
            </w:r>
          </w:p>
          <w:p>
            <w:pPr>
              <w:pStyle w:val="ListParagraph"/>
              <w:numPr>
                <w:ilvl w:val="0"/>
                <w:numId w:val="2"/>
              </w:numPr>
              <w:spacing w:after="50" w:line="256"/>
            </w:pPr>
            <w:r>
              <w:rPr>
                <w:b/>
                <w:bCs/>
                <w:color w:val="B0341E"/>
              </w:rPr>
              <w:t xml:space="preserve">– </w:t>
            </w:r>
            <w:r>
              <w:t xml:space="preserve">unsicher – in schlechten Jahren fällt die Beteiligung aus</w:t>
            </w:r>
          </w:p>
        </w:tc>
      </w:tr>
    </w:tbl>
    <w:p>
      <w:pPr>
        <w:spacing w:after="60"/>
      </w:pPr>
      <w:r>
        <w:t xml:space="preserve"/>
      </w:r>
    </w:p>
    <w:p>
      <w:pPr>
        <w:spacing w:after="140" w:before="0" w:line="268"/>
      </w:pPr>
      <w:r>
        <w:t xml:space="preserve">Die folgende Tabelle fasst Anreiz und Risiko aller Formen noch einmal kompakt zusammen:</w:t>
      </w:r>
    </w:p>
    <w:p>
      <w:pPr>
        <w:spacing w:after="80" w:before="60"/>
      </w:pPr>
      <w:r>
        <w:rPr>
          <w:b/>
          <w:bCs/>
          <w:caps/>
          <w:color w:val="1F4E79"/>
          <w:sz w:val="18"/>
          <w:szCs w:val="18"/>
        </w:rPr>
        <w:t xml:space="preserve">M12</w:t>
      </w:r>
      <w:r>
        <w:rPr>
          <w:b/>
          <w:bCs/>
          <w:color w:val="1F4E79"/>
          <w:sz w:val="18"/>
          <w:szCs w:val="18"/>
        </w:rPr>
        <w:t xml:space="preserve">  ·  Anreiz und Risiko der Entlohnungsformen im Überblick</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000"/>
        <w:gridCol w:w="2400"/>
        <w:gridCol w:w="2300"/>
        <w:gridCol w:w="2326"/>
      </w:tblGrid>
      <w:tr>
        <w:trPr>
          <w:tblHeader/>
        </w:trPr>
        <w:tc>
          <w:tcPr>
            <w:tcW w:type="dxa" w:w="20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Form</w:t>
            </w:r>
          </w:p>
        </w:tc>
        <w:tc>
          <w:tcPr>
            <w:tcW w:type="dxa" w:w="24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Anreiz für …</w:t>
            </w:r>
          </w:p>
        </w:tc>
        <w:tc>
          <w:tcPr>
            <w:tcW w:type="dxa" w:w="23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Risiko Arbeitgeber</w:t>
            </w:r>
          </w:p>
        </w:tc>
        <w:tc>
          <w:tcPr>
            <w:tcW w:type="dxa" w:w="23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Risiko Arbeitnehmer</w:t>
            </w:r>
          </w:p>
        </w:tc>
      </w:tr>
      <w:tr>
        <w:tc>
          <w:tcPr>
            <w:tcW w:type="dxa" w:w="2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Zeitlohn</w:t>
            </w:r>
          </w:p>
        </w:tc>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Sorgfalt, Qualität, ruhiges Arbeiten</w:t>
            </w:r>
          </w:p>
        </w:tc>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geringerer Mengenanreiz, mehr Aufsicht</w:t>
            </w:r>
          </w:p>
        </w:tc>
        <w:tc>
          <w:tcPr>
            <w:tcW w:type="dxa" w:w="2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Mehrleistung wird nicht extra belohnt</w:t>
            </w:r>
          </w:p>
        </w:tc>
      </w:tr>
      <w:tr>
        <w:tc>
          <w:tcPr>
            <w:tcW w:type="dxa" w:w="2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Akkordlohn</w:t>
            </w:r>
          </w:p>
        </w:tc>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hohe Stückzahl, Tempo</w:t>
            </w:r>
          </w:p>
        </w:tc>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Qualitätsverlust, Ausschuss, Unfälle</w:t>
            </w:r>
          </w:p>
        </w:tc>
        <w:tc>
          <w:tcPr>
            <w:tcW w:type="dxa" w:w="2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Einkommen schwankt, Hetze, Gesundheit</w:t>
            </w:r>
          </w:p>
        </w:tc>
      </w:tr>
      <w:tr>
        <w:tc>
          <w:tcPr>
            <w:tcW w:type="dxa" w:w="2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Prämienlohn</w:t>
            </w:r>
          </w:p>
        </w:tc>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mehrere Ziele (Menge + Qualität)</w:t>
            </w:r>
          </w:p>
        </w:tc>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komplexe, strittige Kennzahlen</w:t>
            </w:r>
          </w:p>
        </w:tc>
        <w:tc>
          <w:tcPr>
            <w:tcW w:type="dxa" w:w="2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Prämienziele evtl. schwer erreichbar</w:t>
            </w:r>
          </w:p>
        </w:tc>
      </w:tr>
      <w:tr>
        <w:tc>
          <w:tcPr>
            <w:tcW w:type="dxa" w:w="20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Erfolgsbeteiligung</w:t>
            </w:r>
          </w:p>
        </w:tc>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Mitdenken, Bindung, Identifikation</w:t>
            </w:r>
          </w:p>
        </w:tc>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Auszahlung auch ohne Steuerung fällig</w:t>
            </w:r>
          </w:p>
        </w:tc>
        <w:tc>
          <w:tcPr>
            <w:tcW w:type="dxa" w:w="2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hängt an Faktoren, die man kaum beeinflusst</w:t>
            </w:r>
          </w:p>
        </w:tc>
      </w:tr>
    </w:tbl>
    <w:p>
      <w:pPr>
        <w:spacing w:after="140" w:before="0" w:line="268"/>
      </w:pPr>
      <w:r>
        <w:rPr>
          <w:b/>
          <w:bCs/>
        </w:rPr>
        <w:t xml:space="preserve">Hinter jeder Bewertung steht ein Zielkonflikt: </w:t>
      </w:r>
      <w:r>
        <w:t xml:space="preserve">Leistungsanreiz gegen Sicherheit, Menge gegen Qualität, Flexibilität gegen Planbarkeit. Genau deshalb gibt es nicht „die beste“ Entlohnungsform – sondern nur die für eine bestimmte Tätigkeit, ein bestimmtes Ziel und eine bestimmte Kultur passende. In einer Vertrauenskultur wie bei VeloTec wirken übrigens andere Anreize als in einer Kontrollkultur – hier schließt sich der Kreis zu Teil A.</w:t>
      </w:r>
    </w:p>
    <w:p>
      <w:pPr>
        <w:spacing w:after="60"/>
      </w:pPr>
      <w:r>
        <w:t xml:space="preserve"/>
      </w:r>
    </w:p>
    <w:p>
      <w:pPr>
        <w:pStyle w:val="Heading3"/>
      </w:pPr>
      <w:r>
        <w:t xml:space="preserve">Der gesetzliche Rahmen</w:t>
      </w:r>
    </w:p>
    <w:p>
      <w:pPr>
        <w:spacing w:after="140" w:before="0" w:line="268"/>
      </w:pPr>
      <w:r>
        <w:t xml:space="preserve">Bezahlung ist nicht völlig frei verhandelbar. Es gelten u. a. der </w:t>
      </w:r>
      <w:r>
        <w:rPr>
          <w:b/>
          <w:bCs/>
        </w:rPr>
        <w:t xml:space="preserve">gesetzliche Mindestlohn</w:t>
      </w:r>
      <w:r>
        <w:t xml:space="preserve">, </w:t>
      </w:r>
      <w:r>
        <w:rPr>
          <w:b/>
          <w:bCs/>
        </w:rPr>
        <w:t xml:space="preserve">Tarifverträge</w:t>
      </w:r>
      <w:r>
        <w:t xml:space="preserve"> zwischen Gewerkschaften und Arbeitgebern sowie der Grundsatz </w:t>
      </w:r>
      <w:r>
        <w:rPr>
          <w:i/>
          <w:iCs/>
        </w:rPr>
        <w:t xml:space="preserve">„gleicher Lohn für gleiche Arbeit“</w:t>
      </w:r>
      <w:r>
        <w:t xml:space="preserve">. Hier kehrt Teil C des vorigen Kapitels wieder: Auch die Entlohnung steht in einem staatlich gesetzten Rahmen – Ordnungspolitik wirkt bis auf die Lohnabrechnung.</w:t>
      </w:r>
    </w:p>
    <w:p>
      <w:pPr>
        <w:keepNext/>
        <w:pBdr>
          <w:top w:val="single" w:color="5B3FA0" w:sz="4" w:space="6"/>
        </w:pBdr>
        <w:spacing w:after="60" w:before="170"/>
      </w:pPr>
      <w:r>
        <w:rPr>
          <w:b/>
          <w:bCs/>
          <w:color w:val="5B3FA0"/>
          <w:sz w:val="21"/>
          <w:szCs w:val="21"/>
        </w:rPr>
        <w:t xml:space="preserve">Digitale Übung · </w:t>
      </w:r>
      <w:r>
        <w:rPr>
          <w:b/>
          <w:bCs/>
          <w:color w:val="5B3FA0"/>
          <w:sz w:val="21"/>
          <w:szCs w:val="21"/>
        </w:rPr>
        <w:t xml:space="preserve">Lohn-Simulator</w:t>
      </w:r>
    </w:p>
    <w:p>
      <w:pPr>
        <w:spacing w:after="150"/>
      </w:pPr>
      <w:r>
        <w:rPr>
          <w:color w:val="1F2937"/>
          <w:sz w:val="19"/>
          <w:szCs w:val="19"/>
        </w:rPr>
        <w:t xml:space="preserve">In einer interaktiven Übung stellst du für verschiedene Tätigkeiten eine Entlohnungsform ein und beobachtest, wie sich Produktivität, Qualität, Kosten und Zufriedenheit verändern. Ziel: die zur Situation passende Form finden – und die Zielkonflikte selbst erleben. (Screenshot und QR-Code folgen.)</w:t>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Werkzeugkasten: in zwei Schritten bewerten</w:t>
            </w:r>
          </w:p>
          <w:p>
            <w:pPr>
              <w:spacing w:after="70" w:before="0" w:line="268"/>
            </w:pPr>
            <w:r>
              <w:t xml:space="preserve">Eine „Bewerten“-Aufgabe (AFB III) gelingt mit einem klaren Schema:</w:t>
            </w:r>
          </w:p>
          <w:p>
            <w:pPr>
              <w:pStyle w:val="ListParagraph"/>
              <w:numPr>
                <w:ilvl w:val="0"/>
                <w:numId w:val="2"/>
              </w:numPr>
              <w:spacing w:after="70" w:line="264"/>
            </w:pPr>
            <w:r>
              <w:rPr>
                <w:b/>
                <w:bCs/>
              </w:rPr>
              <w:t xml:space="preserve">Schritt 1 – Kriterien wählen: </w:t>
            </w:r>
            <w:r>
              <w:t xml:space="preserve">Anreizwirkung, Einkommenssicherheit, Qualität, Kostenplanbarkeit, Gerechtigkeit, Gesundheit/Belastung.</w:t>
            </w:r>
          </w:p>
          <w:p>
            <w:pPr>
              <w:pStyle w:val="ListParagraph"/>
              <w:numPr>
                <w:ilvl w:val="0"/>
                <w:numId w:val="2"/>
              </w:numPr>
              <w:spacing w:after="70" w:line="264"/>
            </w:pPr>
            <w:r>
              <w:rPr>
                <w:b/>
                <w:bCs/>
              </w:rPr>
              <w:t xml:space="preserve">Schritt 2 – zwei Perspektiven prüfen: </w:t>
            </w:r>
            <w:r>
              <w:t xml:space="preserve">Beurteile jede Form aus Arbeitgeber- UND Arbeitnehmersicht – und benenne den Zielkonflikt, der dahintersteht.</w:t>
            </w:r>
          </w:p>
          <w:p>
            <w:pPr>
              <w:spacing w:after="0" w:before="0" w:line="268"/>
            </w:pPr>
            <w:r>
              <w:rPr>
                <w:b/>
                <w:bCs/>
              </w:rPr>
              <w:t xml:space="preserve">Formulierungshilfe: </w:t>
            </w:r>
            <w:r>
              <w:t xml:space="preserve">„Aus Sicht des Arbeitgebers überwiegt …, weil … Aus Sicht der Arbeitnehmer dagegen … Abwägend lässt sich sagen, dass …, sofern …“</w:t>
            </w:r>
          </w:p>
        </w:tc>
      </w:tr>
    </w:tbl>
    <w:p>
      <w:pPr>
        <w:spacing w:after="60"/>
      </w:pPr>
      <w:r>
        <w:t xml:space="preserve"/>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10" w:line="264"/>
              <w:ind w:left="360" w:hanging="360"/>
            </w:pPr>
            <w:r>
              <w:rPr>
                <w:b/>
                <w:bCs/>
                <w:color w:val="B45309"/>
              </w:rPr>
              <w:t xml:space="preserve">1  </w:t>
            </w:r>
            <w:r>
              <w:t xml:space="preserve">Unterscheide Zeit-, Akkord- und Prämienlohn und nenne je eine Tätigkeit, für die sich die Form besonders eignet.</w:t>
            </w:r>
            <w:r>
              <w:rPr>
                <w:i/>
                <w:iCs/>
                <w:color w:val="6B7280"/>
                <w:sz w:val="17"/>
                <w:szCs w:val="17"/>
              </w:rPr>
              <w:t xml:space="preserve">  (AFB I)</w:t>
            </w:r>
          </w:p>
          <w:p>
            <w:pPr>
              <w:spacing w:after="110" w:line="264"/>
              <w:ind w:left="360" w:hanging="360"/>
            </w:pPr>
            <w:r>
              <w:rPr>
                <w:b/>
                <w:bCs/>
                <w:color w:val="B45309"/>
              </w:rPr>
              <w:t xml:space="preserve">2  </w:t>
            </w:r>
            <w:r>
              <w:t xml:space="preserve">Arbeite aus dem Leitfall (M5) die unterschiedlichen Interessen der drei Personen heraus.</w:t>
            </w:r>
            <w:r>
              <w:rPr>
                <w:i/>
                <w:iCs/>
                <w:color w:val="6B7280"/>
                <w:sz w:val="17"/>
                <w:szCs w:val="17"/>
              </w:rPr>
              <w:t xml:space="preserve">  (AFB II)</w:t>
            </w:r>
          </w:p>
          <w:p>
            <w:pPr>
              <w:spacing w:after="110" w:line="264"/>
              <w:ind w:left="360" w:hanging="360"/>
            </w:pPr>
            <w:r>
              <w:rPr>
                <w:b/>
                <w:bCs/>
                <w:color w:val="B45309"/>
              </w:rPr>
              <w:t xml:space="preserve">3  </w:t>
            </w:r>
            <w:r>
              <w:rPr>
                <w:b/>
                <w:bCs/>
              </w:rPr>
              <w:t xml:space="preserve">Bewerte</w:t>
            </w:r>
            <w:r>
              <w:t xml:space="preserve"> den Akkordlohn aus Arbeitgeber- und aus Arbeitnehmersicht (M8). Benenne den zentralen Zielkonflikt.</w:t>
            </w:r>
            <w:r>
              <w:rPr>
                <w:i/>
                <w:iCs/>
                <w:color w:val="6B7280"/>
                <w:sz w:val="17"/>
                <w:szCs w:val="17"/>
              </w:rPr>
              <w:t xml:space="preserve">  (AFB III)</w:t>
            </w:r>
          </w:p>
          <w:p>
            <w:pPr>
              <w:spacing w:after="110" w:line="264"/>
              <w:ind w:left="360" w:hanging="360"/>
            </w:pPr>
            <w:r>
              <w:rPr>
                <w:b/>
                <w:bCs/>
                <w:color w:val="B45309"/>
              </w:rPr>
              <w:t xml:space="preserve">4  </w:t>
            </w:r>
            <w:r>
              <w:t xml:space="preserve">VeloTec erwägt, in der Montage vom Zeit- auf den Prämienlohn umzustellen. </w:t>
            </w:r>
            <w:r>
              <w:rPr>
                <w:b/>
                <w:bCs/>
              </w:rPr>
              <w:t xml:space="preserve">Beurteile</w:t>
            </w:r>
            <w:r>
              <w:t xml:space="preserve"> diesen Vorschlag mithilfe des Werkzeugkastens und gib eine begründete Empfehlung.</w:t>
            </w:r>
            <w:r>
              <w:rPr>
                <w:i/>
                <w:iCs/>
                <w:color w:val="6B7280"/>
                <w:sz w:val="17"/>
                <w:szCs w:val="17"/>
              </w:rPr>
              <w:t xml:space="preserve">  (AFB III)</w:t>
            </w:r>
          </w:p>
          <w:p>
            <w:pPr>
              <w:spacing w:after="110" w:line="264"/>
              <w:ind w:left="360" w:hanging="360"/>
            </w:pPr>
            <w:r>
              <w:rPr>
                <w:b/>
                <w:bCs/>
                <w:color w:val="B45309"/>
              </w:rPr>
              <w:t xml:space="preserve">5  </w:t>
            </w:r>
            <w:r>
              <w:rPr>
                <w:b/>
                <w:bCs/>
              </w:rPr>
              <w:t xml:space="preserve">Erörtere</w:t>
            </w:r>
            <w:r>
              <w:t xml:space="preserve"> unter Rückgriff auf Herzberg (Teil A), ob höhere Leistung am besten über mehr Geld oder über andere Anreize erreicht wird.</w:t>
            </w:r>
            <w:r>
              <w:rPr>
                <w:i/>
                <w:iCs/>
                <w:color w:val="6B7280"/>
                <w:sz w:val="17"/>
                <w:szCs w:val="17"/>
              </w:rPr>
              <w:t xml:space="preserve">  (AFB III)</w:t>
            </w:r>
          </w:p>
        </w:tc>
      </w:tr>
    </w:tbl>
    <w:p>
      <w:pPr>
        <w:pBdr>
          <w:bottom w:val="single" w:color="1F4E79" w:sz="6" w:space="1"/>
        </w:pBdr>
        <w:spacing w:after="160" w:before="6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CBDA" w:sz="4" w:space="4"/>
      </w:pBdr>
      <w:tabs>
        <w:tab w:val="right" w:pos="9026"/>
      </w:tabs>
      <w:spacing w:before="0"/>
    </w:pPr>
    <w:r>
      <w:rPr>
        <w:color w:val="6B7280"/>
        <w:sz w:val="16"/>
        <w:szCs w:val="16"/>
      </w:rPr>
      <w:t xml:space="preserve">Wirtschaft · Leistungsfach</w:t>
    </w:r>
    <w:r>
      <w:rPr>
        <w:color w:val="6B7280"/>
        <w:sz w:val="16"/>
        <w:szCs w:val="16"/>
      </w:rPr>
      <w:t xml:space="preserve">	Seite </w:t>
    </w:r>
    <w:r>
      <w:rPr>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t xml:space="preserve">Modelle nach Edgar H. Schein (Organisationskultur), Abraham Maslow (Bedürfnishierarchie) und Frederick Herzberg (Zwei-Faktoren-Theorie); didaktisch vereinfacht.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BDA" w:sz="4" w:space="4"/>
      </w:pBdr>
      <w:spacing w:after="0"/>
    </w:pPr>
    <w:r>
      <w:rPr>
        <w:caps/>
        <w:color w:val="6B7280"/>
        <w:sz w:val="16"/>
        <w:szCs w:val="16"/>
      </w:rPr>
      <w:t xml:space="preserve">Grundlagen der BWL  ·  Menschen im Unternehmen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20"/>
      <w:outlineLvl w:val="1"/>
    </w:pPr>
    <w:rPr>
      <w:rFonts w:ascii="Arial" w:cs="Arial" w:eastAsia="Arial" w:hAnsi="Arial"/>
      <w:b/>
      <w:bCs/>
      <w:color w:val="1F4E79"/>
      <w:sz w:val="26"/>
      <w:szCs w:val="26"/>
    </w:rPr>
  </w:style>
  <w:style w:type="paragraph" w:styleId="Heading3">
    <w:name w:val="Heading 3"/>
    <w:basedOn w:val="Normal"/>
    <w:next w:val="Normal"/>
    <w:qFormat/>
    <w:pPr>
      <w:spacing w:after="90" w:before="160"/>
      <w:outlineLvl w:val="2"/>
    </w:pPr>
    <w:rPr>
      <w:rFonts w:ascii="Arial" w:cs="Arial" w:eastAsia="Arial" w:hAnsi="Arial"/>
      <w:b/>
      <w:bCs/>
      <w:color w:val="1F2937"/>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Grundlagen der BWL – Menschen im Unternehmen</dc:title>
  <dc:creator>Westermann · Wirtschaft Leistungsfach</dc:creator>
  <cp:lastModifiedBy>Un-named</cp:lastModifiedBy>
  <cp:revision>1</cp:revision>
  <dcterms:created xsi:type="dcterms:W3CDTF">2026-06-14T08:03:03.388Z</dcterms:created>
  <dcterms:modified xsi:type="dcterms:W3CDTF">2026-06-14T08:03:03.398Z</dcterms:modified>
</cp:coreProperties>
</file>

<file path=docProps/custom.xml><?xml version="1.0" encoding="utf-8"?>
<Properties xmlns="http://schemas.openxmlformats.org/officeDocument/2006/custom-properties" xmlns:vt="http://schemas.openxmlformats.org/officeDocument/2006/docPropsVTypes"/>
</file>